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F2" w:rsidRDefault="00D841F2" w:rsidP="00236273">
      <w:bookmarkStart w:id="0" w:name="1"/>
    </w:p>
    <w:p w:rsidR="00D841F2" w:rsidRDefault="00D841F2" w:rsidP="00CF0B4F"/>
    <w:p w:rsidR="00852D83" w:rsidRDefault="00852D83" w:rsidP="00CF0B4F"/>
    <w:p w:rsidR="00852D83" w:rsidRDefault="00852D83" w:rsidP="00CF0B4F"/>
    <w:p w:rsidR="00852D83" w:rsidRDefault="00852D83"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Pr="00506961" w:rsidRDefault="00CF0B4F" w:rsidP="00CF0B4F"/>
    <w:p w:rsidR="00AB6BA6" w:rsidRPr="00506961" w:rsidRDefault="004677F3" w:rsidP="00506961">
      <w:pPr>
        <w:pStyle w:val="Title"/>
        <w:outlineLvl w:val="9"/>
      </w:pPr>
      <w:r w:rsidRPr="00506961">
        <w:t>CGMS-50 WGI actions</w:t>
      </w:r>
      <w:bookmarkEnd w:id="0"/>
    </w:p>
    <w:p w:rsidR="00AB6BA6" w:rsidRPr="00AB6BA6" w:rsidRDefault="004677F3" w:rsidP="00506961">
      <w:pPr>
        <w:pStyle w:val="SublineHeader"/>
        <w:outlineLvl w:val="9"/>
        <w:rPr>
          <w:rFonts w:ascii="Times New Roman" w:hAnsi="Times New Roman"/>
          <w:sz w:val="24"/>
        </w:rPr>
      </w:pPr>
      <w:r w:rsidRPr="00AB6BA6">
        <w:t>SCIR International Cooperation</w:t>
      </w:r>
    </w:p>
    <w:p w:rsidR="00AB6BA6" w:rsidRDefault="00AB6BA6" w:rsidP="00506961">
      <w:pPr>
        <w:jc w:val="center"/>
      </w:pPr>
    </w:p>
    <w:p w:rsidR="00940D8A" w:rsidRDefault="00940D8A" w:rsidP="00506961">
      <w:pPr>
        <w:jc w:val="center"/>
      </w:pPr>
    </w:p>
    <w:p w:rsidR="00940D8A" w:rsidRDefault="00940D8A" w:rsidP="00506961">
      <w:pPr>
        <w:jc w:val="center"/>
      </w:pPr>
    </w:p>
    <w:p w:rsidR="00506961" w:rsidRDefault="00506961" w:rsidP="00506961">
      <w:pPr>
        <w:jc w:val="center"/>
      </w:pPr>
    </w:p>
    <w:p w:rsidR="002B48D8" w:rsidRDefault="002B48D8" w:rsidP="00506961">
      <w:pPr>
        <w:jc w:val="center"/>
      </w:pPr>
    </w:p>
    <w:p w:rsidR="002B48D8" w:rsidRDefault="002B48D8"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852D83" w:rsidRPr="00852D83" w:rsidRDefault="004677F3" w:rsidP="00506961">
      <w:pPr>
        <w:pStyle w:val="SublineHeaderLevel2"/>
        <w:outlineLvl w:val="9"/>
      </w:pPr>
      <w:r w:rsidRPr="00852D83">
        <w:t>Exported on 03 Feb 2023</w:t>
      </w:r>
    </w:p>
    <w:p w:rsidR="00D841F2" w:rsidRDefault="004677F3" w:rsidP="00506961">
      <w:pPr>
        <w:pStyle w:val="DocumentMap"/>
        <w:jc w:val="center"/>
      </w:pPr>
      <w:r>
        <w:br w:type="page"/>
      </w:r>
    </w:p>
    <w:sdt>
      <w:sdtPr>
        <w:rPr>
          <w:rFonts w:eastAsia="Times New Roman" w:cs="Times New Roman"/>
          <w:iCs/>
          <w:color w:val="auto"/>
          <w:sz w:val="20"/>
          <w:szCs w:val="24"/>
        </w:rPr>
        <w:id w:val="1056277649"/>
        <w:docPartObj>
          <w:docPartGallery w:val="Table of Contents"/>
          <w:docPartUnique/>
        </w:docPartObj>
      </w:sdtPr>
      <w:sdtEndPr>
        <w:rPr>
          <w:noProof/>
          <w:color w:val="404040" w:themeColor="text1" w:themeTint="BF"/>
          <w:szCs w:val="22"/>
        </w:rPr>
      </w:sdtEndPr>
      <w:sdtContent>
        <w:p w:rsidR="00D841F2" w:rsidRPr="00D10529" w:rsidRDefault="004677F3" w:rsidP="00C4331B">
          <w:pPr>
            <w:pStyle w:val="TOCHeading"/>
          </w:pPr>
          <w:r w:rsidRPr="00D10529">
            <w:t>Table of Contents</w:t>
          </w:r>
        </w:p>
        <w:p w:rsidR="00531B81" w:rsidRPr="00D10529" w:rsidRDefault="00531B81" w:rsidP="00D10529">
          <w:pPr>
            <w:pStyle w:val="TOC1"/>
          </w:pPr>
        </w:p>
        <w:p w:rsidR="00D91D6E" w:rsidRDefault="004677F3">
          <w:pPr>
            <w:pStyle w:val="TOC1"/>
            <w:tabs>
              <w:tab w:val="left" w:pos="400"/>
              <w:tab w:val="right" w:leader="dot" w:pos="8487"/>
            </w:tabs>
            <w:rPr>
              <w:rFonts w:asciiTheme="minorHAnsi" w:hAnsiTheme="minorHAnsi"/>
              <w:noProof/>
              <w:sz w:val="22"/>
            </w:rPr>
          </w:pPr>
          <w:r>
            <w:fldChar w:fldCharType="begin"/>
          </w:r>
          <w:r w:rsidR="00091F1E">
            <w:instrText xml:space="preserve"> TOC \o "2-3" \t "Heading 1,</w:instrText>
          </w:r>
          <w:r>
            <w:instrText xml:space="preserve">1" </w:instrText>
          </w:r>
          <w:r>
            <w:fldChar w:fldCharType="separate"/>
          </w:r>
          <w:r>
            <w:t>1</w:t>
          </w:r>
          <w:r>
            <w:rPr>
              <w:rFonts w:asciiTheme="minorHAnsi" w:hAnsiTheme="minorHAnsi"/>
              <w:noProof/>
              <w:sz w:val="22"/>
            </w:rPr>
            <w:tab/>
          </w:r>
          <w:r>
            <w:t>WGI actions and recommendations following CGMS-50</w:t>
          </w:r>
          <w:r>
            <w:tab/>
          </w:r>
          <w:r>
            <w:fldChar w:fldCharType="begin"/>
          </w:r>
          <w:r>
            <w:instrText xml:space="preserve"> PAGEREF _Toc256000000 \h </w:instrText>
          </w:r>
          <w:r>
            <w:fldChar w:fldCharType="separate"/>
          </w:r>
          <w:r>
            <w:t>4</w:t>
          </w:r>
          <w:r>
            <w:fldChar w:fldCharType="end"/>
          </w:r>
        </w:p>
        <w:p w:rsidR="00D91D6E" w:rsidRDefault="004677F3">
          <w:pPr>
            <w:pStyle w:val="TOC1"/>
            <w:tabs>
              <w:tab w:val="left" w:pos="400"/>
              <w:tab w:val="right" w:leader="dot" w:pos="8487"/>
            </w:tabs>
            <w:rPr>
              <w:rFonts w:asciiTheme="minorHAnsi" w:hAnsiTheme="minorHAnsi"/>
              <w:noProof/>
              <w:sz w:val="22"/>
            </w:rPr>
          </w:pPr>
          <w:r>
            <w:t>2</w:t>
          </w:r>
          <w:r>
            <w:rPr>
              <w:rFonts w:asciiTheme="minorHAnsi" w:hAnsiTheme="minorHAnsi"/>
              <w:noProof/>
              <w:sz w:val="22"/>
            </w:rPr>
            <w:tab/>
          </w:r>
          <w:r>
            <w:t>History - WGI actions resulting from previous CGMS plenary sessions following CGMS-50</w:t>
          </w:r>
          <w:r>
            <w:tab/>
          </w:r>
          <w:r>
            <w:fldChar w:fldCharType="begin"/>
          </w:r>
          <w:r>
            <w:instrText xml:space="preserve"> PAGEREF _Toc256000001 \h </w:instrText>
          </w:r>
          <w:r>
            <w:fldChar w:fldCharType="separate"/>
          </w:r>
          <w:r>
            <w:t>14</w:t>
          </w:r>
          <w:r>
            <w:fldChar w:fldCharType="end"/>
          </w:r>
        </w:p>
        <w:p w:rsidR="00D841F2" w:rsidRPr="004B5FCD" w:rsidRDefault="004677F3" w:rsidP="004B5FCD">
          <w:pPr>
            <w:pStyle w:val="TOC1"/>
            <w:rPr>
              <w:bCs w:val="0"/>
              <w:noProof/>
            </w:rPr>
          </w:pPr>
          <w:r>
            <w:rPr>
              <w:bCs w:val="0"/>
              <w:noProof/>
            </w:rPr>
            <w:fldChar w:fldCharType="end"/>
          </w:r>
        </w:p>
      </w:sdtContent>
    </w:sdt>
    <w:p w:rsidR="000D499C" w:rsidRDefault="000D499C" w:rsidP="00D841F2">
      <w:pPr>
        <w:spacing w:after="0"/>
        <w:sectPr w:rsidR="000D499C" w:rsidSect="00506961">
          <w:headerReference w:type="even" r:id="rId8"/>
          <w:headerReference w:type="default" r:id="rId9"/>
          <w:footerReference w:type="even" r:id="rId10"/>
          <w:footerReference w:type="default" r:id="rId11"/>
          <w:headerReference w:type="first" r:id="rId12"/>
          <w:footerReference w:type="first" r:id="rId13"/>
          <w:pgSz w:w="11899" w:h="16838"/>
          <w:pgMar w:top="1440" w:right="1701" w:bottom="1440" w:left="1701" w:header="709" w:footer="709" w:gutter="0"/>
          <w:cols w:space="708"/>
          <w:titlePg/>
          <w:docGrid w:linePitch="360"/>
        </w:sectPr>
      </w:pPr>
    </w:p>
    <w:p w:rsidR="00740789" w:rsidRPr="00D841F2" w:rsidRDefault="004677F3">
      <w:bookmarkStart w:id="1" w:name="scroll-bookmark-1"/>
      <w:bookmarkEnd w:id="1"/>
      <w:r>
        <w:t xml:space="preserve">This page provides a status of WGI actions </w:t>
      </w:r>
      <w:r>
        <w:t>following CGMS-50 WGI.</w:t>
      </w:r>
    </w:p>
    <w:p w:rsidR="00D91D6E" w:rsidRDefault="004677F3">
      <w:pPr>
        <w:pStyle w:val="Heading1"/>
      </w:pPr>
      <w:bookmarkStart w:id="2" w:name="_Toc256000000"/>
      <w:bookmarkStart w:id="3" w:name="scroll-bookmark-2"/>
      <w:r>
        <w:t>WGI actions and recommendations following CGMS-50</w:t>
      </w:r>
      <w:bookmarkEnd w:id="2"/>
      <w:bookmarkEnd w:id="3"/>
    </w:p>
    <w:tbl>
      <w:tblPr>
        <w:tblStyle w:val="ScrollTableNormal"/>
        <w:tblW w:w="5000" w:type="pct"/>
        <w:tblLook w:val="0000" w:firstRow="0" w:lastRow="0" w:firstColumn="0" w:lastColumn="0" w:noHBand="0" w:noVBand="0"/>
      </w:tblPr>
      <w:tblGrid>
        <w:gridCol w:w="941"/>
        <w:gridCol w:w="604"/>
        <w:gridCol w:w="1009"/>
        <w:gridCol w:w="1922"/>
        <w:gridCol w:w="1856"/>
        <w:gridCol w:w="707"/>
        <w:gridCol w:w="698"/>
        <w:gridCol w:w="750"/>
      </w:tblGrid>
      <w:tr w:rsidR="00D91D6E" w:rsidTr="00D91D6E">
        <w:tc>
          <w:tcPr>
            <w:tcW w:w="0" w:type="auto"/>
            <w:gridSpan w:val="8"/>
            <w:shd w:val="solid" w:color="2684FF" w:fill="2684FF"/>
          </w:tcPr>
          <w:p w:rsidR="00D91D6E" w:rsidRDefault="004677F3">
            <w:r>
              <w:rPr>
                <w:b/>
              </w:rPr>
              <w:t>WGI actions resulting from CGMS-50</w:t>
            </w:r>
          </w:p>
        </w:tc>
      </w:tr>
      <w:tr w:rsidR="00D91D6E" w:rsidTr="00D91D6E">
        <w:tc>
          <w:tcPr>
            <w:tcW w:w="0" w:type="auto"/>
            <w:shd w:val="solid" w:color="7A869A" w:fill="7A869A"/>
          </w:tcPr>
          <w:p w:rsidR="00D91D6E" w:rsidRDefault="004677F3">
            <w:proofErr w:type="spellStart"/>
            <w:r>
              <w:rPr>
                <w:b/>
              </w:rPr>
              <w:t>Actionee</w:t>
            </w:r>
            <w:proofErr w:type="spellEnd"/>
          </w:p>
        </w:tc>
        <w:tc>
          <w:tcPr>
            <w:tcW w:w="0" w:type="auto"/>
            <w:shd w:val="solid" w:color="7A869A" w:fill="7A869A"/>
          </w:tcPr>
          <w:p w:rsidR="00D91D6E" w:rsidRDefault="004677F3">
            <w:r>
              <w:rPr>
                <w:b/>
              </w:rPr>
              <w:t>AGN item</w:t>
            </w:r>
          </w:p>
        </w:tc>
        <w:tc>
          <w:tcPr>
            <w:tcW w:w="0" w:type="auto"/>
            <w:shd w:val="solid" w:color="7A869A" w:fill="7A869A"/>
          </w:tcPr>
          <w:p w:rsidR="00D91D6E" w:rsidRDefault="004677F3">
            <w:r>
              <w:rPr>
                <w:b/>
              </w:rPr>
              <w:t>Action #</w:t>
            </w:r>
          </w:p>
        </w:tc>
        <w:tc>
          <w:tcPr>
            <w:tcW w:w="0" w:type="auto"/>
            <w:shd w:val="solid" w:color="7A869A" w:fill="7A869A"/>
          </w:tcPr>
          <w:p w:rsidR="00D91D6E" w:rsidRDefault="004677F3">
            <w:r>
              <w:rPr>
                <w:b/>
              </w:rPr>
              <w:t>Description</w:t>
            </w:r>
          </w:p>
        </w:tc>
        <w:tc>
          <w:tcPr>
            <w:tcW w:w="0" w:type="auto"/>
            <w:shd w:val="solid" w:color="7A869A" w:fill="7A869A"/>
          </w:tcPr>
          <w:p w:rsidR="00D91D6E" w:rsidRDefault="004677F3">
            <w:r>
              <w:rPr>
                <w:b/>
              </w:rPr>
              <w:t>Action feedback/closing document</w:t>
            </w:r>
          </w:p>
        </w:tc>
        <w:tc>
          <w:tcPr>
            <w:tcW w:w="0" w:type="auto"/>
            <w:shd w:val="solid" w:color="7A869A" w:fill="7A869A"/>
          </w:tcPr>
          <w:p w:rsidR="00D91D6E" w:rsidRDefault="004677F3">
            <w:r>
              <w:rPr>
                <w:b/>
              </w:rPr>
              <w:t>Deadline</w:t>
            </w:r>
          </w:p>
        </w:tc>
        <w:tc>
          <w:tcPr>
            <w:tcW w:w="0" w:type="auto"/>
            <w:shd w:val="solid" w:color="7A869A" w:fill="7A869A"/>
          </w:tcPr>
          <w:p w:rsidR="00D91D6E" w:rsidRDefault="004677F3">
            <w:r>
              <w:rPr>
                <w:b/>
              </w:rPr>
              <w:t>Status</w:t>
            </w:r>
          </w:p>
        </w:tc>
        <w:tc>
          <w:tcPr>
            <w:tcW w:w="0" w:type="auto"/>
            <w:shd w:val="solid" w:color="7A869A" w:fill="7A869A"/>
          </w:tcPr>
          <w:p w:rsidR="00D91D6E" w:rsidRDefault="004677F3">
            <w:r>
              <w:rPr>
                <w:b/>
              </w:rPr>
              <w:t>HLPP ref</w:t>
            </w:r>
          </w:p>
        </w:tc>
      </w:tr>
      <w:tr w:rsidR="00D91D6E" w:rsidTr="00D91D6E">
        <w:tc>
          <w:tcPr>
            <w:tcW w:w="0" w:type="auto"/>
          </w:tcPr>
          <w:p w:rsidR="00D91D6E" w:rsidRDefault="004677F3">
            <w:r>
              <w:t>WGI Task Group on Data Collection Services</w:t>
            </w:r>
          </w:p>
        </w:tc>
        <w:tc>
          <w:tcPr>
            <w:tcW w:w="0" w:type="auto"/>
          </w:tcPr>
          <w:p w:rsidR="00D91D6E" w:rsidRDefault="004677F3">
            <w:r>
              <w:t>5.1</w:t>
            </w:r>
          </w:p>
        </w:tc>
        <w:tc>
          <w:tcPr>
            <w:tcW w:w="0" w:type="auto"/>
          </w:tcPr>
          <w:p w:rsidR="00D91D6E" w:rsidRDefault="004677F3">
            <w:r>
              <w:t>WGI/A49.03</w:t>
            </w:r>
          </w:p>
        </w:tc>
        <w:tc>
          <w:tcPr>
            <w:tcW w:w="0" w:type="auto"/>
          </w:tcPr>
          <w:p w:rsidR="00D91D6E" w:rsidRDefault="004677F3">
            <w:proofErr w:type="spellStart"/>
            <w:r>
              <w:t>Analyse</w:t>
            </w:r>
            <w:proofErr w:type="spellEnd"/>
            <w:r>
              <w:t xml:space="preserve"> existing DCP standards taking into account user feedback and requirements, and propose a common standard that could be used as a future IDCS standard. The standard could include improving forward error correction and other modifiable par</w:t>
            </w:r>
            <w:r>
              <w:t>ameters.</w:t>
            </w:r>
          </w:p>
        </w:tc>
        <w:tc>
          <w:tcPr>
            <w:tcW w:w="0" w:type="auto"/>
          </w:tcPr>
          <w:p w:rsidR="00D91D6E" w:rsidRDefault="004677F3">
            <w:r>
              <w:rPr>
                <w:i/>
              </w:rPr>
              <w:t xml:space="preserve">2023 24 Jan: DCS Workshop in October 2022, in conjunction with </w:t>
            </w:r>
            <w:proofErr w:type="spellStart"/>
            <w:r>
              <w:rPr>
                <w:i/>
              </w:rPr>
              <w:t>Satcom</w:t>
            </w:r>
            <w:proofErr w:type="spellEnd"/>
            <w:r>
              <w:rPr>
                <w:i/>
              </w:rPr>
              <w:t xml:space="preserve"> Forum. Some progress has been made on EDCP Standard discussions. A further Manufacturers workshop was held on 19 January to continue the EDCP Standard discussions. OTT, </w:t>
            </w:r>
            <w:proofErr w:type="spellStart"/>
            <w:r>
              <w:rPr>
                <w:i/>
              </w:rPr>
              <w:t>Microcom</w:t>
            </w:r>
            <w:proofErr w:type="spellEnd"/>
            <w:r>
              <w:rPr>
                <w:i/>
              </w:rPr>
              <w:t xml:space="preserve"> and Dr. Paul Crawford were present. This involved also a discussion on whether there is still the need for the EDCP standard, and the feedback was positive. Target is to have a draft outline and timeline for the EDCP standard for CGMS-51.</w:t>
            </w:r>
          </w:p>
          <w:p w:rsidR="00D91D6E" w:rsidRDefault="004677F3">
            <w:r>
              <w:t>2022 27 Sep: The</w:t>
            </w:r>
            <w:r>
              <w:t xml:space="preserve"> EDCP Standard will be the main topic of the DCS Workshop, which will take place on 12 October in Paris, as part of </w:t>
            </w:r>
            <w:proofErr w:type="spellStart"/>
            <w:r>
              <w:t>Satcom</w:t>
            </w:r>
            <w:proofErr w:type="spellEnd"/>
            <w:r>
              <w:t xml:space="preserve"> Forum 11-13 October, held in conjunction with the Met Tech Expo. WGI members are invited to join the DCS Workshop. The plan would be </w:t>
            </w:r>
            <w:r>
              <w:t>to have an outline of the EDCP Standard for CGMS-51 and a proposed EDCP Standard for CGMS-52.</w:t>
            </w:r>
          </w:p>
          <w:p w:rsidR="00D91D6E" w:rsidRDefault="004677F3">
            <w:r>
              <w:t>CGMS-50: WGI agreed to update action as follows "</w:t>
            </w:r>
            <w:proofErr w:type="spellStart"/>
            <w:r>
              <w:t>Analyse</w:t>
            </w:r>
            <w:proofErr w:type="spellEnd"/>
            <w:r>
              <w:t xml:space="preserve"> existing DCP standards taking into account user feedback, and propose a common standard that could be use</w:t>
            </w:r>
            <w:r>
              <w:t>d as a future IDCS standard. This would be an evolution of an existing standard. There would also be workshops with the manufacturers to understand the best way to identify and implement this standard taking into account the SWOT analysis and the results o</w:t>
            </w:r>
            <w:r>
              <w:t>f the survey commissioned by ESA.”</w:t>
            </w:r>
            <w:r>
              <w:br/>
            </w:r>
            <w:r>
              <w:br/>
              <w:t xml:space="preserve">2022 22 Mar: Discussions have been held in the DCS Task Group </w:t>
            </w:r>
            <w:proofErr w:type="spellStart"/>
            <w:r>
              <w:t>intersessionals</w:t>
            </w:r>
            <w:proofErr w:type="spellEnd"/>
            <w:r>
              <w:t>. An update will be provided in the CGMS-50 WGI Task Group Report, including a proposal of approaching manufacturers. A DCS Workshop planned in</w:t>
            </w:r>
            <w:r>
              <w:t xml:space="preserve"> the </w:t>
            </w:r>
            <w:proofErr w:type="spellStart"/>
            <w:r>
              <w:t>Satcom</w:t>
            </w:r>
            <w:proofErr w:type="spellEnd"/>
            <w:r>
              <w:t xml:space="preserve"> Forum.</w:t>
            </w:r>
            <w:r>
              <w:br/>
            </w:r>
            <w:r>
              <w:br/>
              <w:t>2021 13 Sep IS: Discussions at next intersessional in December 2021/January 2022</w:t>
            </w:r>
            <w:r>
              <w:br/>
            </w:r>
            <w:r>
              <w:br/>
              <w:t xml:space="preserve">The DCS Sub Group are working on this and plan to provide a report to CGMS 50. It was envisaged to </w:t>
            </w:r>
            <w:proofErr w:type="spellStart"/>
            <w:r>
              <w:t>organise</w:t>
            </w:r>
            <w:proofErr w:type="spellEnd"/>
            <w:r>
              <w:t xml:space="preserve"> a face to face meeting to discuss this topic b</w:t>
            </w:r>
            <w:r>
              <w:t xml:space="preserve">ut this has not been possible due to COVID. We are indeed looking to adapt and existing standard rather than start with a new one from scratch. It is hoped that following this path will mean existing </w:t>
            </w:r>
            <w:proofErr w:type="spellStart"/>
            <w:r>
              <w:t>platfors</w:t>
            </w:r>
            <w:proofErr w:type="spellEnd"/>
            <w:r>
              <w:t xml:space="preserve"> could be updated with firmware patches.</w:t>
            </w:r>
          </w:p>
          <w:p w:rsidR="00D91D6E" w:rsidRDefault="004677F3">
            <w:r>
              <w:br/>
              <w:t>Task G</w:t>
            </w:r>
            <w:r>
              <w:t xml:space="preserve">roup lead: </w:t>
            </w:r>
            <w:hyperlink r:id="rId14" w:history="1">
              <w:r>
                <w:rPr>
                  <w:rStyle w:val="Hyperlink"/>
                </w:rPr>
                <w:t>Nick.Coyne@eumetsat.int</w:t>
              </w:r>
            </w:hyperlink>
          </w:p>
        </w:tc>
        <w:tc>
          <w:tcPr>
            <w:tcW w:w="0" w:type="auto"/>
          </w:tcPr>
          <w:p w:rsidR="00D91D6E" w:rsidRDefault="004677F3">
            <w:r>
              <w:t>CGMS-51</w:t>
            </w:r>
          </w:p>
        </w:tc>
        <w:tc>
          <w:tcPr>
            <w:tcW w:w="0" w:type="auto"/>
          </w:tcPr>
          <w:p w:rsidR="00D91D6E" w:rsidRDefault="004677F3">
            <w:r>
              <w:t>OPEN</w:t>
            </w:r>
          </w:p>
        </w:tc>
        <w:tc>
          <w:tcPr>
            <w:tcW w:w="0" w:type="auto"/>
          </w:tcPr>
          <w:p w:rsidR="00D91D6E" w:rsidRDefault="004677F3">
            <w:r>
              <w:t>2.1.2/2.13</w:t>
            </w:r>
          </w:p>
        </w:tc>
      </w:tr>
      <w:tr w:rsidR="00D91D6E" w:rsidTr="00D91D6E">
        <w:tc>
          <w:tcPr>
            <w:tcW w:w="0" w:type="auto"/>
          </w:tcPr>
          <w:p w:rsidR="00D91D6E" w:rsidRDefault="004677F3">
            <w:r>
              <w:t>CGMS Task Force on Satellite Data and Codes,</w:t>
            </w:r>
            <w:r>
              <w:br/>
              <w:t>WMO</w:t>
            </w:r>
          </w:p>
        </w:tc>
        <w:tc>
          <w:tcPr>
            <w:tcW w:w="0" w:type="auto"/>
          </w:tcPr>
          <w:p w:rsidR="00D91D6E" w:rsidRDefault="004677F3">
            <w:r>
              <w:t>WGIV/5</w:t>
            </w:r>
          </w:p>
        </w:tc>
        <w:tc>
          <w:tcPr>
            <w:tcW w:w="0" w:type="auto"/>
          </w:tcPr>
          <w:p w:rsidR="00D91D6E" w:rsidRDefault="004677F3">
            <w:r>
              <w:t>WGIV/A49.02</w:t>
            </w:r>
          </w:p>
        </w:tc>
        <w:tc>
          <w:tcPr>
            <w:tcW w:w="0" w:type="auto"/>
          </w:tcPr>
          <w:p w:rsidR="00D91D6E" w:rsidRDefault="004677F3">
            <w:r>
              <w:t xml:space="preserve">The CGMS Task Group on Satellite Data and Codes to work closely with WMO on </w:t>
            </w:r>
            <w:r>
              <w:t>addressing the following points:</w:t>
            </w:r>
            <w:r>
              <w:br/>
            </w:r>
            <w:r>
              <w:br/>
            </w:r>
            <w:proofErr w:type="spellStart"/>
            <w:r>
              <w:t>i</w:t>
            </w:r>
            <w:proofErr w:type="spellEnd"/>
            <w:r>
              <w:t>. Linking between OSCAR/Space and the WSI and/or CCT C-5 identifiers (WMO internal)</w:t>
            </w:r>
            <w:r>
              <w:br/>
              <w:t>ii. Potential extension of the use of the Issue Number in the WSI for satellites in order to explicitly indicate metadata which are other</w:t>
            </w:r>
            <w:r>
              <w:t>wise only implicitly embedded in the Local Identifier  (CGMS-50)</w:t>
            </w:r>
            <w:r>
              <w:br/>
              <w:t>iii. Identification of when and how the WSI should be included in the satellite products exchanges in the context of the WIGOS (CGMS-50)</w:t>
            </w:r>
            <w:r>
              <w:br/>
            </w:r>
            <w:r>
              <w:br/>
              <w:t>(ref  CGMS-49-WMO-WP-08)</w:t>
            </w:r>
          </w:p>
        </w:tc>
        <w:tc>
          <w:tcPr>
            <w:tcW w:w="0" w:type="auto"/>
          </w:tcPr>
          <w:p w:rsidR="00D91D6E" w:rsidRDefault="004677F3">
            <w:r>
              <w:rPr>
                <w:i/>
              </w:rPr>
              <w:t>2023 24 Jan: Simon is in dis</w:t>
            </w:r>
            <w:r>
              <w:rPr>
                <w:i/>
              </w:rPr>
              <w:t>cussion with Heikki, who is working on this. Progress on this action will be reported in the TGSDC report for CGMS-51.</w:t>
            </w:r>
          </w:p>
          <w:p w:rsidR="00D91D6E" w:rsidRDefault="004677F3">
            <w:r>
              <w:t>2022 27 Sep: First intersessional meeting was held in September 2022. Participation was very low. Broader participation in intersessional</w:t>
            </w:r>
            <w:r>
              <w:t xml:space="preserve"> meetings is encouraged, but communication is handled also via offline email communication.</w:t>
            </w:r>
          </w:p>
          <w:p w:rsidR="00D91D6E" w:rsidRDefault="004677F3">
            <w:r>
              <w:t>CGMS-50: The Task Group is continuing to work on the use of WIGOS Station identifiers for satellite products. CGMS-50-CGMS-WP-</w:t>
            </w:r>
            <w:proofErr w:type="gramStart"/>
            <w:r>
              <w:t>14  includes</w:t>
            </w:r>
            <w:proofErr w:type="gramEnd"/>
            <w:r>
              <w:t xml:space="preserve"> text prepared by WMO Secr</w:t>
            </w:r>
            <w:r>
              <w:t>etariat for the guide on the WIGOS explaining the use of WIGOS Station Identifiers for satellites. The Task Group continues to assess the best use the Issue Number (currently fixed to 0) in the future.</w:t>
            </w:r>
            <w:r>
              <w:br/>
            </w:r>
            <w:r>
              <w:br/>
              <w:t>2022 11 Apr: Transferred to WGI.  To be discussed wit</w:t>
            </w:r>
            <w:r>
              <w:t>h WMO (Simon, Chair, to follow up).  WMO will first complete the ongoing WSI for satellites design and documentation in WIGOS Guide and its implementation in OSCAR/Space. CCT-C5 will be tentatively covered by that work.</w:t>
            </w:r>
            <w:r>
              <w:br/>
            </w:r>
            <w:r>
              <w:br/>
              <w:t>2022 18 Jan: WMO to address</w:t>
            </w:r>
            <w:r>
              <w:br/>
              <w:t xml:space="preserve">latest </w:t>
            </w:r>
            <w:r>
              <w:t>on 27 October, ongoing work, done through WGI</w:t>
            </w:r>
          </w:p>
        </w:tc>
        <w:tc>
          <w:tcPr>
            <w:tcW w:w="0" w:type="auto"/>
          </w:tcPr>
          <w:p w:rsidR="00D91D6E" w:rsidRDefault="004677F3">
            <w:r>
              <w:t>CGMS-50</w:t>
            </w:r>
          </w:p>
        </w:tc>
        <w:tc>
          <w:tcPr>
            <w:tcW w:w="0" w:type="auto"/>
          </w:tcPr>
          <w:p w:rsidR="00D91D6E" w:rsidRDefault="004677F3">
            <w:r>
              <w:t>OPEN</w:t>
            </w:r>
          </w:p>
        </w:tc>
        <w:tc>
          <w:tcPr>
            <w:tcW w:w="0" w:type="auto"/>
          </w:tcPr>
          <w:p w:rsidR="00D91D6E" w:rsidRDefault="004677F3">
            <w:r>
              <w:t>3.9.1</w:t>
            </w:r>
          </w:p>
        </w:tc>
      </w:tr>
      <w:tr w:rsidR="00D91D6E" w:rsidTr="00D91D6E">
        <w:tc>
          <w:tcPr>
            <w:tcW w:w="0" w:type="auto"/>
          </w:tcPr>
          <w:p w:rsidR="00D91D6E" w:rsidRDefault="004677F3">
            <w:r>
              <w:t>WGI Task Group on RFI detection, monitoring and mapping</w:t>
            </w:r>
          </w:p>
        </w:tc>
        <w:tc>
          <w:tcPr>
            <w:tcW w:w="0" w:type="auto"/>
          </w:tcPr>
          <w:p w:rsidR="00D91D6E" w:rsidRDefault="004677F3">
            <w:r>
              <w:t>2.1</w:t>
            </w:r>
          </w:p>
        </w:tc>
        <w:tc>
          <w:tcPr>
            <w:tcW w:w="0" w:type="auto"/>
          </w:tcPr>
          <w:p w:rsidR="00D91D6E" w:rsidRDefault="004677F3">
            <w:r>
              <w:t>WGI/A50.01</w:t>
            </w:r>
          </w:p>
        </w:tc>
        <w:tc>
          <w:tcPr>
            <w:tcW w:w="0" w:type="auto"/>
          </w:tcPr>
          <w:p w:rsidR="00D91D6E" w:rsidRDefault="004677F3">
            <w:r>
              <w:t xml:space="preserve">Continue forming the Task Group on RFI, establish and confirm the </w:t>
            </w:r>
            <w:proofErr w:type="spellStart"/>
            <w:r>
              <w:t>ToR</w:t>
            </w:r>
            <w:proofErr w:type="spellEnd"/>
            <w:r>
              <w:t xml:space="preserve"> for the Task Group, and investigate collectively </w:t>
            </w:r>
            <w:r>
              <w:t>mechanisms for detection and long-term monitoring of and mapping of RFI (for example, but not limited to, from IMT-2020/5G into the 24</w:t>
            </w:r>
            <w:r>
              <w:br/>
              <w:t>GHz passive band) at satellite or instrument level, or any other means, as the knowledge base for assessing the impact on</w:t>
            </w:r>
            <w:r>
              <w:t xml:space="preserve"> the passive sensor measurements. The draft </w:t>
            </w:r>
            <w:proofErr w:type="spellStart"/>
            <w:r>
              <w:t>ToR</w:t>
            </w:r>
            <w:proofErr w:type="spellEnd"/>
            <w:r>
              <w:t xml:space="preserve"> is to be discussed in the intersessional meetings before CGMS-50 Plenary.</w:t>
            </w:r>
          </w:p>
        </w:tc>
        <w:tc>
          <w:tcPr>
            <w:tcW w:w="0" w:type="auto"/>
          </w:tcPr>
          <w:p w:rsidR="00D91D6E" w:rsidRDefault="004677F3">
            <w:r>
              <w:rPr>
                <w:i/>
              </w:rPr>
              <w:t xml:space="preserve">2023 24 Jan: Useful presentations from CGMS agencies in </w:t>
            </w:r>
            <w:proofErr w:type="spellStart"/>
            <w:r>
              <w:rPr>
                <w:i/>
              </w:rPr>
              <w:t>intersessionals</w:t>
            </w:r>
            <w:proofErr w:type="spellEnd"/>
            <w:r>
              <w:rPr>
                <w:i/>
              </w:rPr>
              <w:t>. The report for CGMS-51 will include a proposed way forward fo</w:t>
            </w:r>
            <w:r>
              <w:rPr>
                <w:i/>
              </w:rPr>
              <w:t>r the future of the Task Group. Markus noted that there is now good awareness on what CGMS agencies are doing in this area. Any further action requires resources and commitment that need to be agreed by CGMS (and needs to be reflected in HLPP).</w:t>
            </w:r>
          </w:p>
          <w:p w:rsidR="00D91D6E" w:rsidRDefault="004677F3">
            <w:r>
              <w:t>2022 27 Sep</w:t>
            </w:r>
            <w:r>
              <w:t>: In the intersessional meetings so far, NOAA, EUMETSAT and CMA presented their work in these areas. KMA have reached out to KARI and KASI.</w:t>
            </w:r>
          </w:p>
        </w:tc>
        <w:tc>
          <w:tcPr>
            <w:tcW w:w="0" w:type="auto"/>
          </w:tcPr>
          <w:p w:rsidR="00D91D6E" w:rsidRDefault="004677F3">
            <w:r>
              <w:t>CGMS-51</w:t>
            </w:r>
          </w:p>
        </w:tc>
        <w:tc>
          <w:tcPr>
            <w:tcW w:w="0" w:type="auto"/>
          </w:tcPr>
          <w:p w:rsidR="00D91D6E" w:rsidRDefault="004677F3">
            <w:r>
              <w:t>OPEN</w:t>
            </w:r>
          </w:p>
        </w:tc>
        <w:tc>
          <w:tcPr>
            <w:tcW w:w="0" w:type="auto"/>
          </w:tcPr>
          <w:p w:rsidR="00D91D6E" w:rsidRDefault="00D91D6E"/>
        </w:tc>
      </w:tr>
      <w:tr w:rsidR="00D91D6E" w:rsidTr="00D91D6E">
        <w:tc>
          <w:tcPr>
            <w:tcW w:w="0" w:type="auto"/>
          </w:tcPr>
          <w:p w:rsidR="00D91D6E" w:rsidRDefault="004677F3">
            <w:r>
              <w:t>CGMS Members</w:t>
            </w:r>
          </w:p>
        </w:tc>
        <w:tc>
          <w:tcPr>
            <w:tcW w:w="0" w:type="auto"/>
          </w:tcPr>
          <w:p w:rsidR="00D91D6E" w:rsidRDefault="004677F3">
            <w:r>
              <w:t>2.1</w:t>
            </w:r>
          </w:p>
        </w:tc>
        <w:tc>
          <w:tcPr>
            <w:tcW w:w="0" w:type="auto"/>
          </w:tcPr>
          <w:p w:rsidR="00D91D6E" w:rsidRDefault="004677F3">
            <w:r>
              <w:t>WGI/A50.02</w:t>
            </w:r>
          </w:p>
        </w:tc>
        <w:tc>
          <w:tcPr>
            <w:tcW w:w="0" w:type="auto"/>
          </w:tcPr>
          <w:p w:rsidR="00D91D6E" w:rsidRDefault="004677F3">
            <w:r>
              <w:t xml:space="preserve">CGMS members to urge their national regulatory authorities, when </w:t>
            </w:r>
            <w:r>
              <w:t>establishing new regulations for use of active services and applications, to appropriately take into account the protection requirements of passive sensors and that the bands listed in RR FN 5.340 will not be opened for a shared use with active services.</w:t>
            </w:r>
          </w:p>
        </w:tc>
        <w:tc>
          <w:tcPr>
            <w:tcW w:w="0" w:type="auto"/>
          </w:tcPr>
          <w:p w:rsidR="00D91D6E" w:rsidRDefault="004677F3">
            <w:r>
              <w:rPr>
                <w:i/>
              </w:rPr>
              <w:t>2</w:t>
            </w:r>
            <w:r>
              <w:rPr>
                <w:i/>
              </w:rPr>
              <w:t>023 24 Jan: EUMETSAT and ESA actively provide inputs to WRC and WRC 2027 agenda.</w:t>
            </w:r>
          </w:p>
        </w:tc>
        <w:tc>
          <w:tcPr>
            <w:tcW w:w="0" w:type="auto"/>
          </w:tcPr>
          <w:p w:rsidR="00D91D6E" w:rsidRDefault="004677F3">
            <w:r>
              <w:t>CGMS-51</w:t>
            </w:r>
          </w:p>
        </w:tc>
        <w:tc>
          <w:tcPr>
            <w:tcW w:w="0" w:type="auto"/>
          </w:tcPr>
          <w:p w:rsidR="00D91D6E" w:rsidRDefault="004677F3">
            <w:r>
              <w:t>OPEN</w:t>
            </w:r>
          </w:p>
        </w:tc>
        <w:tc>
          <w:tcPr>
            <w:tcW w:w="0" w:type="auto"/>
          </w:tcPr>
          <w:p w:rsidR="00D91D6E" w:rsidRDefault="004677F3">
            <w:r>
              <w:t>2.2.2</w:t>
            </w:r>
          </w:p>
        </w:tc>
      </w:tr>
      <w:tr w:rsidR="00D91D6E" w:rsidTr="00D91D6E">
        <w:tc>
          <w:tcPr>
            <w:tcW w:w="0" w:type="auto"/>
            <w:shd w:val="solid" w:color="36B37E" w:fill="36B37E"/>
          </w:tcPr>
          <w:p w:rsidR="00D91D6E" w:rsidRDefault="004677F3">
            <w:r>
              <w:t>SFCG Rep</w:t>
            </w:r>
          </w:p>
        </w:tc>
        <w:tc>
          <w:tcPr>
            <w:tcW w:w="0" w:type="auto"/>
            <w:shd w:val="solid" w:color="36B37E" w:fill="36B37E"/>
          </w:tcPr>
          <w:p w:rsidR="00D91D6E" w:rsidRDefault="004677F3">
            <w:r>
              <w:t>2.1</w:t>
            </w:r>
          </w:p>
        </w:tc>
        <w:tc>
          <w:tcPr>
            <w:tcW w:w="0" w:type="auto"/>
            <w:shd w:val="solid" w:color="36B37E" w:fill="36B37E"/>
          </w:tcPr>
          <w:p w:rsidR="00D91D6E" w:rsidRDefault="004677F3">
            <w:r>
              <w:t>WGI/A50.03</w:t>
            </w:r>
          </w:p>
        </w:tc>
        <w:tc>
          <w:tcPr>
            <w:tcW w:w="0" w:type="auto"/>
            <w:shd w:val="solid" w:color="36B37E" w:fill="36B37E"/>
          </w:tcPr>
          <w:p w:rsidR="00D91D6E" w:rsidRDefault="004677F3">
            <w:r>
              <w:t>SFCG rep to circulate (by the end of 2022) the updated WMO preliminary position paper on WRC-23 after being updated by ET-RFC at it</w:t>
            </w:r>
            <w:r>
              <w:t>s August/September 2022 meeting and afterwards adopted within WMO. CGMS members would then need to ensure the updated WMO positions known to its members' national and international preparation processes for WRC-23.</w:t>
            </w:r>
          </w:p>
        </w:tc>
        <w:tc>
          <w:tcPr>
            <w:tcW w:w="0" w:type="auto"/>
            <w:shd w:val="solid" w:color="36B37E" w:fill="36B37E"/>
          </w:tcPr>
          <w:p w:rsidR="00D91D6E" w:rsidRDefault="004677F3">
            <w:r>
              <w:rPr>
                <w:i/>
              </w:rPr>
              <w:t>2023 24 Jan: The updated WMO positions pa</w:t>
            </w:r>
            <w:r>
              <w:rPr>
                <w:i/>
              </w:rPr>
              <w:t xml:space="preserve">per on WRC-23 agenda was circulated to WGI members on 4 Nov 2022. As there will be the Conference Preparatory Meeting (CPM) from 27 March to 6 April 2023, a major milestone in the ITU-R preparation for WRC-19, CGMS members are invited to make this updated </w:t>
            </w:r>
            <w:r>
              <w:rPr>
                <w:i/>
              </w:rPr>
              <w:t>WMO positions known to its members' national and international preparation processes for WRC-23. Further, this will be reported in the CGMS-51 WGI SFCG Report (in conjunction with WMO). Action closed.</w:t>
            </w:r>
          </w:p>
          <w:p w:rsidR="00D91D6E" w:rsidRDefault="004677F3">
            <w:r>
              <w:t>2022 27 Sep: The paper has been updated and will be cir</w:t>
            </w:r>
            <w:r>
              <w:t>culated to WGI shortly - timeline to be confirmed with Markus.</w:t>
            </w:r>
          </w:p>
        </w:tc>
        <w:tc>
          <w:tcPr>
            <w:tcW w:w="0" w:type="auto"/>
            <w:shd w:val="solid" w:color="36B37E" w:fill="36B37E"/>
          </w:tcPr>
          <w:p w:rsidR="00D91D6E" w:rsidRDefault="004677F3">
            <w:r>
              <w:t>End of 2022</w:t>
            </w:r>
          </w:p>
        </w:tc>
        <w:tc>
          <w:tcPr>
            <w:tcW w:w="0" w:type="auto"/>
            <w:shd w:val="solid" w:color="36B37E" w:fill="36B37E"/>
          </w:tcPr>
          <w:p w:rsidR="00D91D6E" w:rsidRDefault="004677F3">
            <w:r>
              <w:t>CLOSED</w:t>
            </w:r>
          </w:p>
        </w:tc>
        <w:tc>
          <w:tcPr>
            <w:tcW w:w="0" w:type="auto"/>
            <w:shd w:val="solid" w:color="36B37E" w:fill="36B37E"/>
          </w:tcPr>
          <w:p w:rsidR="00D91D6E" w:rsidRDefault="004677F3">
            <w:r>
              <w:t>2.2</w:t>
            </w:r>
          </w:p>
        </w:tc>
      </w:tr>
      <w:tr w:rsidR="00D91D6E" w:rsidTr="00D91D6E">
        <w:tc>
          <w:tcPr>
            <w:tcW w:w="0" w:type="auto"/>
          </w:tcPr>
          <w:p w:rsidR="00D91D6E" w:rsidRDefault="004677F3">
            <w:r>
              <w:t>CGMS Members</w:t>
            </w:r>
          </w:p>
        </w:tc>
        <w:tc>
          <w:tcPr>
            <w:tcW w:w="0" w:type="auto"/>
          </w:tcPr>
          <w:p w:rsidR="00D91D6E" w:rsidRDefault="004677F3">
            <w:r>
              <w:t>2.1</w:t>
            </w:r>
          </w:p>
        </w:tc>
        <w:tc>
          <w:tcPr>
            <w:tcW w:w="0" w:type="auto"/>
          </w:tcPr>
          <w:p w:rsidR="00D91D6E" w:rsidRDefault="004677F3">
            <w:r>
              <w:t>WGI/A50.04</w:t>
            </w:r>
          </w:p>
        </w:tc>
        <w:tc>
          <w:tcPr>
            <w:tcW w:w="0" w:type="auto"/>
          </w:tcPr>
          <w:p w:rsidR="00D91D6E" w:rsidRDefault="004677F3">
            <w:r>
              <w:t xml:space="preserve">SFCG Rep and WMO to propose a process for providing accurate and timely updates on satellite frequencies recorded in OSCAR/Space database. </w:t>
            </w:r>
            <w:r>
              <w:t>This process should ensure CGMS agencies inputs to the database to WMO are aligned with SFCG inputs and activities. The proposed process is to be presented by October 2022. </w:t>
            </w:r>
          </w:p>
        </w:tc>
        <w:tc>
          <w:tcPr>
            <w:tcW w:w="0" w:type="auto"/>
          </w:tcPr>
          <w:p w:rsidR="00D91D6E" w:rsidRDefault="004677F3">
            <w:r>
              <w:rPr>
                <w:i/>
              </w:rPr>
              <w:t>2023 24 Jan: A proposal for the process was distributed to WGI. This will be prese</w:t>
            </w:r>
            <w:r>
              <w:rPr>
                <w:i/>
              </w:rPr>
              <w:t>nted in the SFCG report and process can be decided in CGMS-51 WGI.</w:t>
            </w:r>
          </w:p>
          <w:p w:rsidR="00D91D6E" w:rsidRDefault="004677F3">
            <w:r>
              <w:t>2022 27 Sep: Heikki will follow up with Markus on documenting the process.</w:t>
            </w:r>
          </w:p>
        </w:tc>
        <w:tc>
          <w:tcPr>
            <w:tcW w:w="0" w:type="auto"/>
          </w:tcPr>
          <w:p w:rsidR="00D91D6E" w:rsidRDefault="004677F3">
            <w:r>
              <w:t>October 2022</w:t>
            </w:r>
          </w:p>
        </w:tc>
        <w:tc>
          <w:tcPr>
            <w:tcW w:w="0" w:type="auto"/>
          </w:tcPr>
          <w:p w:rsidR="00D91D6E" w:rsidRDefault="004677F3">
            <w:r>
              <w:t>OPEN</w:t>
            </w:r>
          </w:p>
        </w:tc>
        <w:tc>
          <w:tcPr>
            <w:tcW w:w="0" w:type="auto"/>
          </w:tcPr>
          <w:p w:rsidR="00D91D6E" w:rsidRDefault="00D91D6E"/>
        </w:tc>
      </w:tr>
      <w:tr w:rsidR="00D91D6E" w:rsidTr="00D91D6E">
        <w:tc>
          <w:tcPr>
            <w:tcW w:w="0" w:type="auto"/>
            <w:shd w:val="solid" w:color="36B37E" w:fill="36B37E"/>
          </w:tcPr>
          <w:p w:rsidR="00D91D6E" w:rsidRDefault="004677F3">
            <w:r>
              <w:t>WMO</w:t>
            </w:r>
          </w:p>
        </w:tc>
        <w:tc>
          <w:tcPr>
            <w:tcW w:w="0" w:type="auto"/>
            <w:shd w:val="solid" w:color="36B37E" w:fill="36B37E"/>
          </w:tcPr>
          <w:p w:rsidR="00D91D6E" w:rsidRDefault="004677F3">
            <w:r>
              <w:t>2.1</w:t>
            </w:r>
          </w:p>
        </w:tc>
        <w:tc>
          <w:tcPr>
            <w:tcW w:w="0" w:type="auto"/>
            <w:shd w:val="solid" w:color="36B37E" w:fill="36B37E"/>
          </w:tcPr>
          <w:p w:rsidR="00D91D6E" w:rsidRDefault="004677F3">
            <w:r>
              <w:t>WGI/A50.05</w:t>
            </w:r>
          </w:p>
        </w:tc>
        <w:tc>
          <w:tcPr>
            <w:tcW w:w="0" w:type="auto"/>
            <w:shd w:val="solid" w:color="36B37E" w:fill="36B37E"/>
          </w:tcPr>
          <w:p w:rsidR="00D91D6E" w:rsidRDefault="004677F3">
            <w:r>
              <w:t xml:space="preserve">WMO to include the frequency information in their updated templates to </w:t>
            </w:r>
            <w:r>
              <w:t>OSCAR/Space Support Team (O/SST)</w:t>
            </w:r>
          </w:p>
        </w:tc>
        <w:tc>
          <w:tcPr>
            <w:tcW w:w="0" w:type="auto"/>
            <w:shd w:val="solid" w:color="36B37E" w:fill="36B37E"/>
          </w:tcPr>
          <w:p w:rsidR="00D91D6E" w:rsidRDefault="004677F3">
            <w:r>
              <w:rPr>
                <w:i/>
              </w:rPr>
              <w:t>2022 27 Sep: Completed, this is now standard procedure. Action closed.</w:t>
            </w:r>
          </w:p>
        </w:tc>
        <w:tc>
          <w:tcPr>
            <w:tcW w:w="0" w:type="auto"/>
            <w:shd w:val="solid" w:color="36B37E" w:fill="36B37E"/>
          </w:tcPr>
          <w:p w:rsidR="00D91D6E" w:rsidRDefault="004677F3">
            <w:r>
              <w:t>October 2022</w:t>
            </w:r>
          </w:p>
        </w:tc>
        <w:tc>
          <w:tcPr>
            <w:tcW w:w="0" w:type="auto"/>
            <w:shd w:val="solid" w:color="36B37E" w:fill="36B37E"/>
          </w:tcPr>
          <w:p w:rsidR="00D91D6E" w:rsidRDefault="004677F3">
            <w:r>
              <w:t>CLOSED</w:t>
            </w:r>
          </w:p>
        </w:tc>
        <w:tc>
          <w:tcPr>
            <w:tcW w:w="0" w:type="auto"/>
            <w:shd w:val="solid" w:color="36B37E" w:fill="36B37E"/>
          </w:tcPr>
          <w:p w:rsidR="00D91D6E" w:rsidRDefault="00D91D6E"/>
        </w:tc>
      </w:tr>
      <w:tr w:rsidR="00D91D6E" w:rsidTr="00D91D6E">
        <w:tc>
          <w:tcPr>
            <w:tcW w:w="0" w:type="auto"/>
          </w:tcPr>
          <w:p w:rsidR="00D91D6E" w:rsidRDefault="004677F3">
            <w:r>
              <w:t>WGI Task Group on Data Collection Services</w:t>
            </w:r>
          </w:p>
        </w:tc>
        <w:tc>
          <w:tcPr>
            <w:tcW w:w="0" w:type="auto"/>
          </w:tcPr>
          <w:p w:rsidR="00D91D6E" w:rsidRDefault="004677F3">
            <w:r>
              <w:t>4.1</w:t>
            </w:r>
          </w:p>
        </w:tc>
        <w:tc>
          <w:tcPr>
            <w:tcW w:w="0" w:type="auto"/>
          </w:tcPr>
          <w:p w:rsidR="00D91D6E" w:rsidRDefault="004677F3">
            <w:r>
              <w:t>WGI/A50.06</w:t>
            </w:r>
          </w:p>
        </w:tc>
        <w:tc>
          <w:tcPr>
            <w:tcW w:w="0" w:type="auto"/>
          </w:tcPr>
          <w:p w:rsidR="00D91D6E" w:rsidRDefault="004677F3">
            <w:r>
              <w:t>Build on the work of the SWOT analysis on the DCS from Geostationary Met</w:t>
            </w:r>
            <w:r>
              <w:t>eorological satellites, and particularly progress on the five proposals for further work (covering RFI Mitigation, joint DCS PR materials, DCS introduction video, manufacturer workshop, discoverable information) and present the outcome to CGMS-51.</w:t>
            </w:r>
          </w:p>
        </w:tc>
        <w:tc>
          <w:tcPr>
            <w:tcW w:w="0" w:type="auto"/>
          </w:tcPr>
          <w:p w:rsidR="00D91D6E" w:rsidRDefault="004677F3">
            <w:r>
              <w:rPr>
                <w:i/>
              </w:rPr>
              <w:t xml:space="preserve">2023 24 </w:t>
            </w:r>
            <w:r>
              <w:rPr>
                <w:i/>
              </w:rPr>
              <w:t>Jan: As part of the SWOT analysis follow-up, options for raising the profile of the DCS have been explored. Nick has been in touch with the World Bank on potential podcast on DCS.</w:t>
            </w:r>
          </w:p>
          <w:p w:rsidR="00D91D6E" w:rsidRDefault="004677F3">
            <w:r>
              <w:t>2022 27 Sep: RFI, DCP Standard and DCS Outreach will be discussed in the DCS</w:t>
            </w:r>
            <w:r>
              <w:t xml:space="preserve"> Workshop on 12 October.</w:t>
            </w:r>
          </w:p>
        </w:tc>
        <w:tc>
          <w:tcPr>
            <w:tcW w:w="0" w:type="auto"/>
          </w:tcPr>
          <w:p w:rsidR="00D91D6E" w:rsidRDefault="004677F3">
            <w:r>
              <w:t>CGMS-51</w:t>
            </w:r>
          </w:p>
        </w:tc>
        <w:tc>
          <w:tcPr>
            <w:tcW w:w="0" w:type="auto"/>
          </w:tcPr>
          <w:p w:rsidR="00D91D6E" w:rsidRDefault="004677F3">
            <w:r>
              <w:t>OPEN</w:t>
            </w:r>
          </w:p>
        </w:tc>
        <w:tc>
          <w:tcPr>
            <w:tcW w:w="0" w:type="auto"/>
          </w:tcPr>
          <w:p w:rsidR="00D91D6E" w:rsidRDefault="004677F3">
            <w:r>
              <w:t>2.1</w:t>
            </w:r>
          </w:p>
        </w:tc>
      </w:tr>
      <w:tr w:rsidR="00D91D6E" w:rsidTr="00D91D6E">
        <w:tc>
          <w:tcPr>
            <w:tcW w:w="0" w:type="auto"/>
          </w:tcPr>
          <w:p w:rsidR="00D91D6E" w:rsidRDefault="004677F3">
            <w:r>
              <w:t>Task Group on Space Debris and Collision Avoidance</w:t>
            </w:r>
          </w:p>
        </w:tc>
        <w:tc>
          <w:tcPr>
            <w:tcW w:w="0" w:type="auto"/>
          </w:tcPr>
          <w:p w:rsidR="00D91D6E" w:rsidRDefault="004677F3">
            <w:r>
              <w:t>5.1</w:t>
            </w:r>
          </w:p>
        </w:tc>
        <w:tc>
          <w:tcPr>
            <w:tcW w:w="0" w:type="auto"/>
          </w:tcPr>
          <w:p w:rsidR="00D91D6E" w:rsidRDefault="004677F3">
            <w:r>
              <w:t>WGI/A50.07</w:t>
            </w:r>
          </w:p>
        </w:tc>
        <w:tc>
          <w:tcPr>
            <w:tcW w:w="0" w:type="auto"/>
          </w:tcPr>
          <w:p w:rsidR="00D91D6E" w:rsidRDefault="004677F3">
            <w:r>
              <w:t xml:space="preserve">Deliver a Best Practice document on collision avoidance and debris mitigation, with supporting presentation to CGMS WGI, for recommendation for </w:t>
            </w:r>
            <w:r>
              <w:t>endorsement in CGMS-51.</w:t>
            </w:r>
          </w:p>
        </w:tc>
        <w:tc>
          <w:tcPr>
            <w:tcW w:w="0" w:type="auto"/>
          </w:tcPr>
          <w:p w:rsidR="00D91D6E" w:rsidRDefault="004677F3">
            <w:r>
              <w:rPr>
                <w:i/>
              </w:rPr>
              <w:t>2023 24 Jan: No updates. Tom will follow up with Brian Walling.</w:t>
            </w:r>
          </w:p>
          <w:p w:rsidR="00D91D6E" w:rsidRDefault="004677F3">
            <w:r>
              <w:t>2022 27 Sep: Task Group meeting to be held</w:t>
            </w:r>
          </w:p>
        </w:tc>
        <w:tc>
          <w:tcPr>
            <w:tcW w:w="0" w:type="auto"/>
          </w:tcPr>
          <w:p w:rsidR="00D91D6E" w:rsidRDefault="004677F3">
            <w:r>
              <w:t>CGMS-51</w:t>
            </w:r>
          </w:p>
        </w:tc>
        <w:tc>
          <w:tcPr>
            <w:tcW w:w="0" w:type="auto"/>
          </w:tcPr>
          <w:p w:rsidR="00D91D6E" w:rsidRDefault="004677F3">
            <w:r>
              <w:t>OPEN</w:t>
            </w:r>
          </w:p>
        </w:tc>
        <w:tc>
          <w:tcPr>
            <w:tcW w:w="0" w:type="auto"/>
          </w:tcPr>
          <w:p w:rsidR="00D91D6E" w:rsidRDefault="00D91D6E"/>
        </w:tc>
      </w:tr>
      <w:tr w:rsidR="00D91D6E" w:rsidTr="00D91D6E">
        <w:tc>
          <w:tcPr>
            <w:tcW w:w="0" w:type="auto"/>
          </w:tcPr>
          <w:p w:rsidR="00D91D6E" w:rsidRDefault="004677F3">
            <w:r>
              <w:t>CGMS Members</w:t>
            </w:r>
          </w:p>
        </w:tc>
        <w:tc>
          <w:tcPr>
            <w:tcW w:w="0" w:type="auto"/>
          </w:tcPr>
          <w:p w:rsidR="00D91D6E" w:rsidRDefault="004677F3">
            <w:r>
              <w:t>5.1</w:t>
            </w:r>
          </w:p>
        </w:tc>
        <w:tc>
          <w:tcPr>
            <w:tcW w:w="0" w:type="auto"/>
          </w:tcPr>
          <w:p w:rsidR="00D91D6E" w:rsidRDefault="004677F3">
            <w:r>
              <w:t>WGI/A50.08</w:t>
            </w:r>
          </w:p>
        </w:tc>
        <w:tc>
          <w:tcPr>
            <w:tcW w:w="0" w:type="auto"/>
          </w:tcPr>
          <w:p w:rsidR="00D91D6E" w:rsidRDefault="004677F3">
            <w:r>
              <w:t>All CGMS Members involved in spacecraft operations are strongly encouraged to nomi</w:t>
            </w:r>
            <w:r>
              <w:t>nate participants for the CGMS WGI Task Group on Space Debris and Collision Avoidance. The names of nominated participants are to be provided to the Task Group lead and CGMS WGI Co-chairs / rapporteur before CGMS-50 Plenary, so that the names of members ca</w:t>
            </w:r>
            <w:r>
              <w:t>n be reported to CGMS-50 plenary.</w:t>
            </w:r>
            <w:r>
              <w:br/>
            </w:r>
            <w:r>
              <w:br/>
              <w:t>This is to allow the formulation of the initial Best Practice on collision avoidance and debris mitigation before CGMS-51.</w:t>
            </w:r>
            <w:r>
              <w:br/>
            </w:r>
          </w:p>
        </w:tc>
        <w:tc>
          <w:tcPr>
            <w:tcW w:w="0" w:type="auto"/>
          </w:tcPr>
          <w:p w:rsidR="00D91D6E" w:rsidRDefault="004677F3">
            <w:r>
              <w:rPr>
                <w:i/>
              </w:rPr>
              <w:t>2023 24 Jan: No updates.</w:t>
            </w:r>
          </w:p>
          <w:p w:rsidR="00D91D6E" w:rsidRDefault="004677F3">
            <w:r>
              <w:t>2022 27 Sep: KMA have nominated a member for the task group. Reminder fo</w:t>
            </w:r>
            <w:r>
              <w:t>r further nominations to be sent.</w:t>
            </w:r>
          </w:p>
        </w:tc>
        <w:tc>
          <w:tcPr>
            <w:tcW w:w="0" w:type="auto"/>
          </w:tcPr>
          <w:p w:rsidR="00D91D6E" w:rsidRDefault="004677F3">
            <w:r>
              <w:t>May 2022</w:t>
            </w:r>
          </w:p>
        </w:tc>
        <w:tc>
          <w:tcPr>
            <w:tcW w:w="0" w:type="auto"/>
          </w:tcPr>
          <w:p w:rsidR="00D91D6E" w:rsidRDefault="004677F3">
            <w:r>
              <w:t>OPEN</w:t>
            </w:r>
          </w:p>
        </w:tc>
        <w:tc>
          <w:tcPr>
            <w:tcW w:w="0" w:type="auto"/>
          </w:tcPr>
          <w:p w:rsidR="00D91D6E" w:rsidRDefault="00D91D6E"/>
        </w:tc>
      </w:tr>
      <w:tr w:rsidR="00D91D6E" w:rsidTr="00D91D6E">
        <w:tc>
          <w:tcPr>
            <w:tcW w:w="0" w:type="auto"/>
          </w:tcPr>
          <w:p w:rsidR="00D91D6E" w:rsidRDefault="004677F3">
            <w:r>
              <w:t>WGI Task Group on the Coordination of LEO Orbits + WGI Task Group on Direct Broadcast Systems </w:t>
            </w:r>
          </w:p>
        </w:tc>
        <w:tc>
          <w:tcPr>
            <w:tcW w:w="0" w:type="auto"/>
          </w:tcPr>
          <w:p w:rsidR="00D91D6E" w:rsidRDefault="004677F3">
            <w:r>
              <w:t>5.2 / 3.1</w:t>
            </w:r>
          </w:p>
        </w:tc>
        <w:tc>
          <w:tcPr>
            <w:tcW w:w="0" w:type="auto"/>
          </w:tcPr>
          <w:p w:rsidR="00D91D6E" w:rsidRDefault="004677F3">
            <w:r>
              <w:t>WGI/A50.09</w:t>
            </w:r>
          </w:p>
        </w:tc>
        <w:tc>
          <w:tcPr>
            <w:tcW w:w="0" w:type="auto"/>
          </w:tcPr>
          <w:p w:rsidR="00D91D6E" w:rsidRDefault="004677F3">
            <w:r>
              <w:t xml:space="preserve">Build on the SWOT analysis on Low Latency Data Access from LEO meteorological satellites </w:t>
            </w:r>
            <w:r>
              <w:t>(CGMS-50-CGMS-WP-08) work and broaden its scope to include the following, thereby removing historical requirement and architectural boundaries between global data access and direct broadcast systems:</w:t>
            </w:r>
            <w:r>
              <w:br/>
              <w:t>• Global data coverage and access;</w:t>
            </w:r>
            <w:r>
              <w:br/>
              <w:t>• Temporal coverage o</w:t>
            </w:r>
            <w:r>
              <w:t>ver a given geographic area;</w:t>
            </w:r>
            <w:r>
              <w:br/>
              <w:t>• Low latency data delivery;</w:t>
            </w:r>
            <w:r>
              <w:br/>
            </w:r>
            <w:r>
              <w:br/>
              <w:t>Perform further study on the possible usage of emerging technologies identified by the SWOT analysis.</w:t>
            </w:r>
            <w:r>
              <w:br/>
            </w:r>
            <w:r>
              <w:br/>
              <w:t>The two Task Groups should hold meetings and agree on a proposed way forward for a consolidate</w:t>
            </w:r>
            <w:r>
              <w:t>d SWOT analysis, and present to CGMS-51 for consideration.</w:t>
            </w:r>
            <w:r>
              <w:br/>
            </w:r>
            <w:r>
              <w:br/>
              <w:t>All CGMS agencies are encouraged to nominate participants to contribute to this activity.</w:t>
            </w:r>
            <w:r>
              <w:br/>
            </w:r>
            <w:r>
              <w:br/>
            </w:r>
          </w:p>
        </w:tc>
        <w:tc>
          <w:tcPr>
            <w:tcW w:w="0" w:type="auto"/>
          </w:tcPr>
          <w:p w:rsidR="00D91D6E" w:rsidRDefault="004677F3">
            <w:r>
              <w:rPr>
                <w:i/>
              </w:rPr>
              <w:t>2023 24 Jan: Main finding of SWOT analysis is the lack of standards for inter-satellite communication. T</w:t>
            </w:r>
            <w:r>
              <w:rPr>
                <w:i/>
              </w:rPr>
              <w:t>his will be included in the group's report for CGMS-51. It can then be decided whether CGMS wants to explore this topic further and open an action for CGMS-52.</w:t>
            </w:r>
          </w:p>
          <w:p w:rsidR="00D91D6E" w:rsidRDefault="004677F3">
            <w:r>
              <w:t>2022 27 Sep: One joint task group meeting has taken place, work ongoing.</w:t>
            </w:r>
          </w:p>
        </w:tc>
        <w:tc>
          <w:tcPr>
            <w:tcW w:w="0" w:type="auto"/>
          </w:tcPr>
          <w:p w:rsidR="00D91D6E" w:rsidRDefault="004677F3">
            <w:r>
              <w:t>CGMS-51</w:t>
            </w:r>
          </w:p>
        </w:tc>
        <w:tc>
          <w:tcPr>
            <w:tcW w:w="0" w:type="auto"/>
          </w:tcPr>
          <w:p w:rsidR="00D91D6E" w:rsidRDefault="004677F3">
            <w:r>
              <w:t>OPEN</w:t>
            </w:r>
          </w:p>
        </w:tc>
        <w:tc>
          <w:tcPr>
            <w:tcW w:w="0" w:type="auto"/>
          </w:tcPr>
          <w:p w:rsidR="00D91D6E" w:rsidRDefault="004677F3">
            <w:r>
              <w:t>2.3.3</w:t>
            </w:r>
          </w:p>
        </w:tc>
      </w:tr>
      <w:tr w:rsidR="00D91D6E" w:rsidTr="00D91D6E">
        <w:tc>
          <w:tcPr>
            <w:tcW w:w="0" w:type="auto"/>
          </w:tcPr>
          <w:p w:rsidR="00D91D6E" w:rsidRDefault="004677F3">
            <w:r>
              <w:t>WGI</w:t>
            </w:r>
            <w:r>
              <w:t xml:space="preserve"> Task Group on the Coordination of LEO Orbits</w:t>
            </w:r>
            <w:r>
              <w:br/>
              <w:t>+ WGI Task Group on Direct Broadcast Systems</w:t>
            </w:r>
          </w:p>
        </w:tc>
        <w:tc>
          <w:tcPr>
            <w:tcW w:w="0" w:type="auto"/>
          </w:tcPr>
          <w:p w:rsidR="00D91D6E" w:rsidRDefault="004677F3">
            <w:r>
              <w:t>5.2</w:t>
            </w:r>
          </w:p>
        </w:tc>
        <w:tc>
          <w:tcPr>
            <w:tcW w:w="0" w:type="auto"/>
          </w:tcPr>
          <w:p w:rsidR="00D91D6E" w:rsidRDefault="004677F3">
            <w:r>
              <w:t>WGI/A50.10</w:t>
            </w:r>
          </w:p>
        </w:tc>
        <w:tc>
          <w:tcPr>
            <w:tcW w:w="0" w:type="auto"/>
          </w:tcPr>
          <w:p w:rsidR="00D91D6E" w:rsidRDefault="004677F3">
            <w:r>
              <w:t>Task Group on the Coordination of LEO Orbits and Task Group on Direct Broadcast Systems to review the overlap between the proposed (BP) for the Coordi</w:t>
            </w:r>
            <w:r>
              <w:t>nation of Data Acquisition for Low Earth Orbit (LEO) Satellite Systems and the already published Best practices in support to local and regional processing of LEO direct broadcast data (CGMS/DOC/18/1008274), and propose a way forward for both best practice</w:t>
            </w:r>
            <w:r>
              <w:t>s.</w:t>
            </w:r>
            <w:r>
              <w:br/>
              <w:t> </w:t>
            </w:r>
            <w:r>
              <w:br/>
              <w:t>The updated best practices drafts should be sent for review before CGMS-51 and presented to CGMS-51.</w:t>
            </w:r>
          </w:p>
        </w:tc>
        <w:tc>
          <w:tcPr>
            <w:tcW w:w="0" w:type="auto"/>
          </w:tcPr>
          <w:p w:rsidR="00D91D6E" w:rsidRDefault="004677F3">
            <w:r>
              <w:rPr>
                <w:i/>
              </w:rPr>
              <w:t>2023 24 Jan: Work on reviewing the overlap between the BPs has been ongoing.</w:t>
            </w:r>
          </w:p>
          <w:p w:rsidR="00D91D6E" w:rsidRDefault="004677F3">
            <w:r>
              <w:t>2022 27 Sep: One joint task group meeting has taken place, work ongoing.</w:t>
            </w:r>
          </w:p>
        </w:tc>
        <w:tc>
          <w:tcPr>
            <w:tcW w:w="0" w:type="auto"/>
          </w:tcPr>
          <w:p w:rsidR="00D91D6E" w:rsidRDefault="004677F3">
            <w:r>
              <w:t>CGMS-51</w:t>
            </w:r>
          </w:p>
        </w:tc>
        <w:tc>
          <w:tcPr>
            <w:tcW w:w="0" w:type="auto"/>
          </w:tcPr>
          <w:p w:rsidR="00D91D6E" w:rsidRDefault="004677F3">
            <w:r>
              <w:t>OPEN</w:t>
            </w:r>
          </w:p>
        </w:tc>
        <w:tc>
          <w:tcPr>
            <w:tcW w:w="0" w:type="auto"/>
          </w:tcPr>
          <w:p w:rsidR="00D91D6E" w:rsidRDefault="00D91D6E"/>
        </w:tc>
      </w:tr>
      <w:tr w:rsidR="00D91D6E" w:rsidTr="00D91D6E">
        <w:tc>
          <w:tcPr>
            <w:tcW w:w="0" w:type="auto"/>
          </w:tcPr>
          <w:p w:rsidR="00D91D6E" w:rsidRDefault="004677F3">
            <w:r>
              <w:t>CGMS Members</w:t>
            </w:r>
          </w:p>
        </w:tc>
        <w:tc>
          <w:tcPr>
            <w:tcW w:w="0" w:type="auto"/>
          </w:tcPr>
          <w:p w:rsidR="00D91D6E" w:rsidRDefault="004677F3">
            <w:r>
              <w:t>6</w:t>
            </w:r>
          </w:p>
        </w:tc>
        <w:tc>
          <w:tcPr>
            <w:tcW w:w="0" w:type="auto"/>
          </w:tcPr>
          <w:p w:rsidR="00D91D6E" w:rsidRDefault="004677F3">
            <w:r>
              <w:t>WGI/A50.11</w:t>
            </w:r>
          </w:p>
        </w:tc>
        <w:tc>
          <w:tcPr>
            <w:tcW w:w="0" w:type="auto"/>
          </w:tcPr>
          <w:p w:rsidR="00D91D6E" w:rsidRDefault="004677F3">
            <w:r>
              <w:t>CGMS agencies to consider nominating additional members for all the WGI Task Groups (listed below) by CGMS-50 Plenary, especially ones where no representatives of the agencies are currently participating in the Task</w:t>
            </w:r>
            <w:r>
              <w:t xml:space="preserve"> Group(s).</w:t>
            </w:r>
            <w:r>
              <w:br/>
              <w:t>- Task Group on Direct Broadcast Systems</w:t>
            </w:r>
            <w:r>
              <w:br/>
              <w:t>- Task Group on Satellite Data and Codes</w:t>
            </w:r>
            <w:r>
              <w:br/>
              <w:t>- Task Group on Data Collection Services</w:t>
            </w:r>
            <w:r>
              <w:br/>
              <w:t>- Task Group on Space Debris and Collision Avoidance</w:t>
            </w:r>
            <w:r>
              <w:br/>
              <w:t>- Task Group on the Coordination of LEO Orbits</w:t>
            </w:r>
            <w:r>
              <w:br/>
              <w:t>- Task Group on RFI de</w:t>
            </w:r>
            <w:r>
              <w:t>tection, monitoring and mapping  </w:t>
            </w:r>
          </w:p>
        </w:tc>
        <w:tc>
          <w:tcPr>
            <w:tcW w:w="0" w:type="auto"/>
          </w:tcPr>
          <w:p w:rsidR="00D91D6E" w:rsidRDefault="004677F3">
            <w:r>
              <w:rPr>
                <w:i/>
              </w:rPr>
              <w:t>2023 24 Jan: WGI Task Group Chairs to please create an up-to-date list of Task Group members and provide to the Co-Chairs / Rapporteur + include in CGMS WGI TG reports.</w:t>
            </w:r>
          </w:p>
          <w:p w:rsidR="00D91D6E" w:rsidRDefault="004677F3">
            <w:r>
              <w:t>2022 27 Sep: Reminder for nominations to be sent.</w:t>
            </w:r>
          </w:p>
        </w:tc>
        <w:tc>
          <w:tcPr>
            <w:tcW w:w="0" w:type="auto"/>
          </w:tcPr>
          <w:p w:rsidR="00D91D6E" w:rsidRDefault="004677F3">
            <w:r>
              <w:t>May</w:t>
            </w:r>
            <w:r>
              <w:t xml:space="preserve"> 2022</w:t>
            </w:r>
          </w:p>
        </w:tc>
        <w:tc>
          <w:tcPr>
            <w:tcW w:w="0" w:type="auto"/>
          </w:tcPr>
          <w:p w:rsidR="00D91D6E" w:rsidRDefault="004677F3">
            <w:r>
              <w:t>OPEN</w:t>
            </w:r>
          </w:p>
        </w:tc>
        <w:tc>
          <w:tcPr>
            <w:tcW w:w="0" w:type="auto"/>
          </w:tcPr>
          <w:p w:rsidR="00D91D6E" w:rsidRDefault="00D91D6E"/>
        </w:tc>
      </w:tr>
      <w:tr w:rsidR="00D91D6E" w:rsidTr="00D91D6E">
        <w:tc>
          <w:tcPr>
            <w:tcW w:w="0" w:type="auto"/>
          </w:tcPr>
          <w:p w:rsidR="00D91D6E" w:rsidRDefault="004677F3">
            <w:r>
              <w:t>All WGI Task Groups </w:t>
            </w:r>
          </w:p>
        </w:tc>
        <w:tc>
          <w:tcPr>
            <w:tcW w:w="0" w:type="auto"/>
          </w:tcPr>
          <w:p w:rsidR="00D91D6E" w:rsidRDefault="004677F3">
            <w:r>
              <w:t>6</w:t>
            </w:r>
          </w:p>
        </w:tc>
        <w:tc>
          <w:tcPr>
            <w:tcW w:w="0" w:type="auto"/>
          </w:tcPr>
          <w:p w:rsidR="00D91D6E" w:rsidRDefault="004677F3">
            <w:r>
              <w:t>WGI/A50.12</w:t>
            </w:r>
          </w:p>
        </w:tc>
        <w:tc>
          <w:tcPr>
            <w:tcW w:w="0" w:type="auto"/>
          </w:tcPr>
          <w:p w:rsidR="00D91D6E" w:rsidRDefault="004677F3">
            <w:r>
              <w:t>Each of the WGI Task Groups to present its latest Terms of Reference to CGMS-51, which following endorsement should be added to the CGMS Website by CGMS Secretariat.</w:t>
            </w:r>
            <w:r>
              <w:br/>
            </w:r>
            <w:r>
              <w:br/>
              <w:t>The updated Terms of Reference of the Task</w:t>
            </w:r>
            <w:r>
              <w:t xml:space="preserve"> Groups can then be used as inputs to the review of the WGI </w:t>
            </w:r>
            <w:proofErr w:type="spellStart"/>
            <w:r>
              <w:t>ToRs</w:t>
            </w:r>
            <w:proofErr w:type="spellEnd"/>
            <w:r>
              <w:t xml:space="preserve"> in 2023.</w:t>
            </w:r>
          </w:p>
        </w:tc>
        <w:tc>
          <w:tcPr>
            <w:tcW w:w="0" w:type="auto"/>
          </w:tcPr>
          <w:p w:rsidR="00D91D6E" w:rsidRDefault="004677F3">
            <w:r>
              <w:rPr>
                <w:i/>
              </w:rPr>
              <w:t>2023 24 Jan: Now that all Task Groups are established, we would like to ensure the Terms of Reference of the groups are consistent. WGI Task Group Chairs to please include the TG Ter</w:t>
            </w:r>
            <w:r>
              <w:rPr>
                <w:i/>
              </w:rPr>
              <w:t>ms of Reference in the CGMS-51 WGI TG reports.</w:t>
            </w:r>
          </w:p>
          <w:p w:rsidR="00D91D6E" w:rsidRDefault="004677F3">
            <w:r>
              <w:t>2022 27 Sep: Integrated in the draft CGMS-51 WGI agenda</w:t>
            </w:r>
          </w:p>
        </w:tc>
        <w:tc>
          <w:tcPr>
            <w:tcW w:w="0" w:type="auto"/>
          </w:tcPr>
          <w:p w:rsidR="00D91D6E" w:rsidRDefault="004677F3">
            <w:r>
              <w:t>CGMS-51</w:t>
            </w:r>
          </w:p>
        </w:tc>
        <w:tc>
          <w:tcPr>
            <w:tcW w:w="0" w:type="auto"/>
          </w:tcPr>
          <w:p w:rsidR="00D91D6E" w:rsidRDefault="004677F3">
            <w:r>
              <w:t>OPEN</w:t>
            </w:r>
          </w:p>
        </w:tc>
        <w:tc>
          <w:tcPr>
            <w:tcW w:w="0" w:type="auto"/>
          </w:tcPr>
          <w:p w:rsidR="00D91D6E" w:rsidRDefault="00D91D6E"/>
        </w:tc>
      </w:tr>
      <w:tr w:rsidR="00D91D6E" w:rsidTr="00D91D6E">
        <w:tc>
          <w:tcPr>
            <w:tcW w:w="0" w:type="auto"/>
            <w:gridSpan w:val="8"/>
            <w:shd w:val="solid" w:color="36B37E" w:fill="36B37E"/>
          </w:tcPr>
          <w:p w:rsidR="00D91D6E" w:rsidRDefault="004677F3">
            <w:r>
              <w:rPr>
                <w:b/>
              </w:rPr>
              <w:t>CGMS-50 WGI Recommendations</w:t>
            </w:r>
          </w:p>
        </w:tc>
      </w:tr>
      <w:tr w:rsidR="00D91D6E" w:rsidTr="00D91D6E">
        <w:tc>
          <w:tcPr>
            <w:tcW w:w="0" w:type="auto"/>
            <w:shd w:val="solid" w:color="7A869A" w:fill="7A869A"/>
          </w:tcPr>
          <w:p w:rsidR="00D91D6E" w:rsidRDefault="004677F3">
            <w:proofErr w:type="spellStart"/>
            <w:r>
              <w:rPr>
                <w:b/>
              </w:rPr>
              <w:t>Actionee</w:t>
            </w:r>
            <w:proofErr w:type="spellEnd"/>
          </w:p>
        </w:tc>
        <w:tc>
          <w:tcPr>
            <w:tcW w:w="0" w:type="auto"/>
            <w:shd w:val="solid" w:color="7A869A" w:fill="7A869A"/>
          </w:tcPr>
          <w:p w:rsidR="00D91D6E" w:rsidRDefault="004677F3">
            <w:r>
              <w:rPr>
                <w:b/>
              </w:rPr>
              <w:t>AGN item</w:t>
            </w:r>
          </w:p>
        </w:tc>
        <w:tc>
          <w:tcPr>
            <w:tcW w:w="0" w:type="auto"/>
            <w:shd w:val="solid" w:color="7A869A" w:fill="7A869A"/>
          </w:tcPr>
          <w:p w:rsidR="00D91D6E" w:rsidRDefault="004677F3">
            <w:r>
              <w:rPr>
                <w:b/>
              </w:rPr>
              <w:t>Action #</w:t>
            </w:r>
          </w:p>
        </w:tc>
        <w:tc>
          <w:tcPr>
            <w:tcW w:w="0" w:type="auto"/>
            <w:shd w:val="solid" w:color="7A869A" w:fill="7A869A"/>
          </w:tcPr>
          <w:p w:rsidR="00D91D6E" w:rsidRDefault="004677F3">
            <w:r>
              <w:rPr>
                <w:b/>
              </w:rPr>
              <w:t>Description</w:t>
            </w:r>
          </w:p>
        </w:tc>
        <w:tc>
          <w:tcPr>
            <w:tcW w:w="0" w:type="auto"/>
            <w:shd w:val="solid" w:color="7A869A" w:fill="7A869A"/>
          </w:tcPr>
          <w:p w:rsidR="00D91D6E" w:rsidRDefault="004677F3">
            <w:r>
              <w:rPr>
                <w:b/>
              </w:rPr>
              <w:t>Recommendation feedback/closing document</w:t>
            </w:r>
          </w:p>
        </w:tc>
        <w:tc>
          <w:tcPr>
            <w:tcW w:w="0" w:type="auto"/>
            <w:shd w:val="solid" w:color="7A869A" w:fill="7A869A"/>
          </w:tcPr>
          <w:p w:rsidR="00D91D6E" w:rsidRDefault="004677F3">
            <w:r>
              <w:rPr>
                <w:b/>
              </w:rPr>
              <w:t>HLPP</w:t>
            </w:r>
          </w:p>
        </w:tc>
        <w:tc>
          <w:tcPr>
            <w:tcW w:w="0" w:type="auto"/>
            <w:shd w:val="solid" w:color="7A869A" w:fill="7A869A"/>
          </w:tcPr>
          <w:p w:rsidR="00D91D6E" w:rsidRDefault="00D91D6E"/>
        </w:tc>
        <w:tc>
          <w:tcPr>
            <w:tcW w:w="0" w:type="auto"/>
            <w:shd w:val="solid" w:color="7A869A" w:fill="7A869A"/>
          </w:tcPr>
          <w:p w:rsidR="00D91D6E" w:rsidRDefault="00D91D6E"/>
        </w:tc>
      </w:tr>
      <w:tr w:rsidR="00D91D6E" w:rsidTr="00D91D6E">
        <w:tc>
          <w:tcPr>
            <w:tcW w:w="0" w:type="auto"/>
          </w:tcPr>
          <w:p w:rsidR="00D91D6E" w:rsidRDefault="004677F3">
            <w:r>
              <w:t>All WGI Task Groups</w:t>
            </w:r>
          </w:p>
        </w:tc>
        <w:tc>
          <w:tcPr>
            <w:tcW w:w="0" w:type="auto"/>
          </w:tcPr>
          <w:p w:rsidR="00D91D6E" w:rsidRDefault="004677F3">
            <w:r>
              <w:t>6</w:t>
            </w:r>
          </w:p>
        </w:tc>
        <w:tc>
          <w:tcPr>
            <w:tcW w:w="0" w:type="auto"/>
          </w:tcPr>
          <w:p w:rsidR="00D91D6E" w:rsidRDefault="004677F3">
            <w:r>
              <w:t>WGI/R50.01</w:t>
            </w:r>
          </w:p>
        </w:tc>
        <w:tc>
          <w:tcPr>
            <w:tcW w:w="0" w:type="auto"/>
          </w:tcPr>
          <w:p w:rsidR="00D91D6E" w:rsidRDefault="004677F3">
            <w:r>
              <w:t>Each of the WGI Task Groups to continuously present the following, starting with CGMS-51.  All of the agencies are encouraged to provide inputs.</w:t>
            </w:r>
            <w:r>
              <w:br/>
              <w:t>- Existing / updated Best Practices</w:t>
            </w:r>
            <w:r>
              <w:br/>
              <w:t>- Status of implementation of Best Practices for each agency</w:t>
            </w:r>
            <w:r>
              <w:br/>
              <w:t xml:space="preserve">- </w:t>
            </w:r>
            <w:r>
              <w:t>Future work / recommendations / proposals (taking into consideration outcome of SWOT analyses)</w:t>
            </w:r>
          </w:p>
        </w:tc>
        <w:tc>
          <w:tcPr>
            <w:tcW w:w="0" w:type="auto"/>
          </w:tcPr>
          <w:p w:rsidR="00D91D6E" w:rsidRDefault="004677F3">
            <w:r>
              <w:rPr>
                <w:i/>
              </w:rPr>
              <w:t>2023 24 Jan: As per the CGMS-51 WGI agenda, each task group is expected to ensure the following inputs:</w:t>
            </w:r>
          </w:p>
          <w:p w:rsidR="00D91D6E" w:rsidRDefault="004677F3">
            <w:pPr>
              <w:numPr>
                <w:ilvl w:val="0"/>
                <w:numId w:val="33"/>
              </w:numPr>
            </w:pPr>
            <w:r>
              <w:rPr>
                <w:i/>
              </w:rPr>
              <w:t>In the TG report - an up-to-date list of TG members, TG T</w:t>
            </w:r>
            <w:r>
              <w:rPr>
                <w:i/>
              </w:rPr>
              <w:t>erms of Reference, status of current and proposed activities</w:t>
            </w:r>
          </w:p>
          <w:p w:rsidR="00D91D6E" w:rsidRDefault="004677F3">
            <w:pPr>
              <w:numPr>
                <w:ilvl w:val="0"/>
                <w:numId w:val="33"/>
              </w:numPr>
            </w:pPr>
            <w:r>
              <w:rPr>
                <w:i/>
              </w:rPr>
              <w:t>Latest version and new proposals for all Best Practices under the responsibility of the Task Group</w:t>
            </w:r>
          </w:p>
          <w:p w:rsidR="00D91D6E" w:rsidRDefault="004677F3">
            <w:pPr>
              <w:numPr>
                <w:ilvl w:val="0"/>
                <w:numId w:val="33"/>
              </w:numPr>
            </w:pPr>
            <w:r>
              <w:rPr>
                <w:i/>
              </w:rPr>
              <w:t>Report from each Agency on the status of implementation of the Best Practices</w:t>
            </w:r>
          </w:p>
          <w:p w:rsidR="00D91D6E" w:rsidRDefault="004677F3">
            <w:r>
              <w:t>2022 27 Sep: Integ</w:t>
            </w:r>
            <w:r>
              <w:t>rated in the draft CGMS-51 WGI agenda</w:t>
            </w:r>
          </w:p>
        </w:tc>
        <w:tc>
          <w:tcPr>
            <w:tcW w:w="0" w:type="auto"/>
          </w:tcPr>
          <w:p w:rsidR="00D91D6E" w:rsidRDefault="00D91D6E"/>
        </w:tc>
        <w:tc>
          <w:tcPr>
            <w:tcW w:w="0" w:type="auto"/>
          </w:tcPr>
          <w:p w:rsidR="00D91D6E" w:rsidRDefault="00D91D6E"/>
        </w:tc>
        <w:tc>
          <w:tcPr>
            <w:tcW w:w="0" w:type="auto"/>
          </w:tcPr>
          <w:p w:rsidR="00D91D6E" w:rsidRDefault="00D91D6E"/>
        </w:tc>
      </w:tr>
    </w:tbl>
    <w:p w:rsidR="00D91D6E" w:rsidRDefault="004677F3">
      <w:pPr>
        <w:pStyle w:val="Heading1"/>
      </w:pPr>
      <w:bookmarkStart w:id="4" w:name="_Toc256000001"/>
      <w:bookmarkStart w:id="5" w:name="scroll-bookmark-3"/>
      <w:r>
        <w:t>History - WGI actions resulting from previous CGMS plenary sessions following CGMS-50</w:t>
      </w:r>
      <w:bookmarkEnd w:id="4"/>
      <w:bookmarkEnd w:id="5"/>
    </w:p>
    <w:tbl>
      <w:tblPr>
        <w:tblStyle w:val="ScrollTableNormal"/>
        <w:tblW w:w="5000" w:type="pct"/>
        <w:tblLook w:val="0000" w:firstRow="0" w:lastRow="0" w:firstColumn="0" w:lastColumn="0" w:noHBand="0" w:noVBand="0"/>
      </w:tblPr>
      <w:tblGrid>
        <w:gridCol w:w="837"/>
        <w:gridCol w:w="679"/>
        <w:gridCol w:w="1140"/>
        <w:gridCol w:w="1484"/>
        <w:gridCol w:w="2105"/>
        <w:gridCol w:w="796"/>
        <w:gridCol w:w="600"/>
        <w:gridCol w:w="846"/>
      </w:tblGrid>
      <w:tr w:rsidR="00D91D6E" w:rsidTr="00D91D6E">
        <w:tc>
          <w:tcPr>
            <w:tcW w:w="0" w:type="auto"/>
            <w:gridSpan w:val="8"/>
            <w:shd w:val="solid" w:color="2684FF" w:fill="2684FF"/>
          </w:tcPr>
          <w:p w:rsidR="00D91D6E" w:rsidRDefault="004677F3">
            <w:r>
              <w:rPr>
                <w:b/>
              </w:rPr>
              <w:t>WGI actions from previous CGMS plenary sessions (that remained open at CGMS-50 WGI)</w:t>
            </w:r>
          </w:p>
        </w:tc>
      </w:tr>
      <w:tr w:rsidR="00D91D6E" w:rsidTr="00D91D6E">
        <w:tc>
          <w:tcPr>
            <w:tcW w:w="0" w:type="auto"/>
            <w:shd w:val="solid" w:color="7A869A" w:fill="7A869A"/>
          </w:tcPr>
          <w:p w:rsidR="00D91D6E" w:rsidRDefault="004677F3">
            <w:proofErr w:type="spellStart"/>
            <w:r>
              <w:rPr>
                <w:b/>
              </w:rPr>
              <w:t>Actionee</w:t>
            </w:r>
            <w:proofErr w:type="spellEnd"/>
          </w:p>
        </w:tc>
        <w:tc>
          <w:tcPr>
            <w:tcW w:w="0" w:type="auto"/>
            <w:shd w:val="solid" w:color="7A869A" w:fill="7A869A"/>
          </w:tcPr>
          <w:p w:rsidR="00D91D6E" w:rsidRDefault="004677F3">
            <w:r>
              <w:rPr>
                <w:b/>
              </w:rPr>
              <w:t>AGN item</w:t>
            </w:r>
          </w:p>
        </w:tc>
        <w:tc>
          <w:tcPr>
            <w:tcW w:w="0" w:type="auto"/>
            <w:shd w:val="solid" w:color="7A869A" w:fill="7A869A"/>
          </w:tcPr>
          <w:p w:rsidR="00D91D6E" w:rsidRDefault="004677F3">
            <w:r>
              <w:rPr>
                <w:b/>
              </w:rPr>
              <w:t>Action #</w:t>
            </w:r>
          </w:p>
        </w:tc>
        <w:tc>
          <w:tcPr>
            <w:tcW w:w="0" w:type="auto"/>
            <w:shd w:val="solid" w:color="7A869A" w:fill="7A869A"/>
          </w:tcPr>
          <w:p w:rsidR="00D91D6E" w:rsidRDefault="004677F3">
            <w:r>
              <w:rPr>
                <w:b/>
              </w:rPr>
              <w:t>Description</w:t>
            </w:r>
          </w:p>
        </w:tc>
        <w:tc>
          <w:tcPr>
            <w:tcW w:w="0" w:type="auto"/>
            <w:shd w:val="solid" w:color="7A869A" w:fill="7A869A"/>
          </w:tcPr>
          <w:p w:rsidR="00D91D6E" w:rsidRDefault="004677F3">
            <w:r>
              <w:rPr>
                <w:b/>
              </w:rPr>
              <w:t>Action feedback/closing document</w:t>
            </w:r>
          </w:p>
        </w:tc>
        <w:tc>
          <w:tcPr>
            <w:tcW w:w="0" w:type="auto"/>
            <w:shd w:val="solid" w:color="7A869A" w:fill="7A869A"/>
          </w:tcPr>
          <w:p w:rsidR="00D91D6E" w:rsidRDefault="004677F3">
            <w:r>
              <w:rPr>
                <w:b/>
              </w:rPr>
              <w:t>Deadline</w:t>
            </w:r>
          </w:p>
        </w:tc>
        <w:tc>
          <w:tcPr>
            <w:tcW w:w="0" w:type="auto"/>
            <w:shd w:val="solid" w:color="7A869A" w:fill="7A869A"/>
          </w:tcPr>
          <w:p w:rsidR="00D91D6E" w:rsidRDefault="004677F3">
            <w:r>
              <w:rPr>
                <w:b/>
              </w:rPr>
              <w:t>Status</w:t>
            </w:r>
          </w:p>
        </w:tc>
        <w:tc>
          <w:tcPr>
            <w:tcW w:w="0" w:type="auto"/>
            <w:shd w:val="solid" w:color="7A869A" w:fill="7A869A"/>
          </w:tcPr>
          <w:p w:rsidR="00D91D6E" w:rsidRDefault="004677F3">
            <w:r>
              <w:rPr>
                <w:b/>
              </w:rPr>
              <w:t>HLPP ref</w:t>
            </w:r>
          </w:p>
        </w:tc>
      </w:tr>
      <w:tr w:rsidR="00D91D6E" w:rsidTr="00D91D6E">
        <w:tc>
          <w:tcPr>
            <w:tcW w:w="0" w:type="auto"/>
          </w:tcPr>
          <w:p w:rsidR="00D91D6E" w:rsidRDefault="004677F3">
            <w:r>
              <w:t>WGI Task Group on Data Collection Services</w:t>
            </w:r>
          </w:p>
        </w:tc>
        <w:tc>
          <w:tcPr>
            <w:tcW w:w="0" w:type="auto"/>
          </w:tcPr>
          <w:p w:rsidR="00D91D6E" w:rsidRDefault="004677F3">
            <w:r>
              <w:t>5.1</w:t>
            </w:r>
          </w:p>
        </w:tc>
        <w:tc>
          <w:tcPr>
            <w:tcW w:w="0" w:type="auto"/>
          </w:tcPr>
          <w:p w:rsidR="00D91D6E" w:rsidRDefault="004677F3">
            <w:r>
              <w:t>WGI/A49.03</w:t>
            </w:r>
          </w:p>
        </w:tc>
        <w:tc>
          <w:tcPr>
            <w:tcW w:w="0" w:type="auto"/>
          </w:tcPr>
          <w:p w:rsidR="00D91D6E" w:rsidRDefault="004677F3">
            <w:proofErr w:type="spellStart"/>
            <w:r>
              <w:t>Analyse</w:t>
            </w:r>
            <w:proofErr w:type="spellEnd"/>
            <w:r>
              <w:t xml:space="preserve"> existing DCP standards taking into account user feedback and requirements, and propose a common standard that could be used as a </w:t>
            </w:r>
            <w:r>
              <w:t>future IDCS standard. The standard could include improving forward error correction and other modifiable parameters.</w:t>
            </w:r>
          </w:p>
        </w:tc>
        <w:tc>
          <w:tcPr>
            <w:tcW w:w="0" w:type="auto"/>
          </w:tcPr>
          <w:p w:rsidR="00D91D6E" w:rsidRDefault="004677F3">
            <w:r>
              <w:rPr>
                <w:i/>
              </w:rPr>
              <w:t>CGMS-50: WGI agreed to update action as follows "</w:t>
            </w:r>
            <w:proofErr w:type="spellStart"/>
            <w:r>
              <w:rPr>
                <w:i/>
              </w:rPr>
              <w:t>Analyse</w:t>
            </w:r>
            <w:proofErr w:type="spellEnd"/>
            <w:r>
              <w:rPr>
                <w:i/>
              </w:rPr>
              <w:t xml:space="preserve"> existing DCP standards taking into account user feedback, and propose a common sta</w:t>
            </w:r>
            <w:r>
              <w:rPr>
                <w:i/>
              </w:rPr>
              <w:t>ndard that could be used as a future IDCS standard. This would be an evolution of an existing standard. There would also be workshops with the manufacturers to understand the best way to identify and implement this standard taking into account the SWOT ana</w:t>
            </w:r>
            <w:r>
              <w:rPr>
                <w:i/>
              </w:rPr>
              <w:t>lysis and the results of the survey commissioned by ESA.”</w:t>
            </w:r>
            <w:r>
              <w:br/>
            </w:r>
            <w:r>
              <w:br/>
              <w:t xml:space="preserve">2022 22 Mar: Discussions have been held in the DCS Task Group </w:t>
            </w:r>
            <w:proofErr w:type="spellStart"/>
            <w:r>
              <w:t>intersessionals</w:t>
            </w:r>
            <w:proofErr w:type="spellEnd"/>
            <w:r>
              <w:t xml:space="preserve">. An update will be provided in the CGMS-50 WGI Task Group Report, including a proposal of approaching manufacturers. A </w:t>
            </w:r>
            <w:r>
              <w:t xml:space="preserve">DCS Workshop planned in the </w:t>
            </w:r>
            <w:proofErr w:type="spellStart"/>
            <w:r>
              <w:t>Satcom</w:t>
            </w:r>
            <w:proofErr w:type="spellEnd"/>
            <w:r>
              <w:t xml:space="preserve"> Forum.</w:t>
            </w:r>
            <w:r>
              <w:br/>
            </w:r>
            <w:r>
              <w:br/>
              <w:t>2021 13 Sep IS: Discussions at next intersessional in December 2021/January 2022</w:t>
            </w:r>
            <w:r>
              <w:br/>
            </w:r>
            <w:r>
              <w:br/>
              <w:t xml:space="preserve">The DCS Sub Group are working on this and plan to provide a report to CGMS 50. It was envisaged to </w:t>
            </w:r>
            <w:proofErr w:type="spellStart"/>
            <w:r>
              <w:t>organise</w:t>
            </w:r>
            <w:proofErr w:type="spellEnd"/>
            <w:r>
              <w:t xml:space="preserve"> a face to face meeting </w:t>
            </w:r>
            <w:r>
              <w:t xml:space="preserve">to discuss this topic but this has not been possible due to COVID. We are indeed looking to adapt and existing standard rather than start with a new one from scratch. It is hoped that following this path will mean existing </w:t>
            </w:r>
            <w:proofErr w:type="spellStart"/>
            <w:r>
              <w:t>platfors</w:t>
            </w:r>
            <w:proofErr w:type="spellEnd"/>
            <w:r>
              <w:t xml:space="preserve"> could be updated with fi</w:t>
            </w:r>
            <w:r>
              <w:t>rmware patches.</w:t>
            </w:r>
          </w:p>
          <w:p w:rsidR="00D91D6E" w:rsidRDefault="004677F3">
            <w:r>
              <w:br/>
              <w:t xml:space="preserve">Task Group lead: </w:t>
            </w:r>
            <w:hyperlink r:id="rId15" w:history="1">
              <w:r>
                <w:rPr>
                  <w:rStyle w:val="Hyperlink"/>
                </w:rPr>
                <w:t>Nick.Coyne@eumetsat.int</w:t>
              </w:r>
            </w:hyperlink>
          </w:p>
        </w:tc>
        <w:tc>
          <w:tcPr>
            <w:tcW w:w="0" w:type="auto"/>
          </w:tcPr>
          <w:p w:rsidR="00D91D6E" w:rsidRDefault="004677F3">
            <w:r>
              <w:t>CGMS-51</w:t>
            </w:r>
          </w:p>
        </w:tc>
        <w:tc>
          <w:tcPr>
            <w:tcW w:w="0" w:type="auto"/>
          </w:tcPr>
          <w:p w:rsidR="00D91D6E" w:rsidRDefault="004677F3">
            <w:r>
              <w:t>OPEN</w:t>
            </w:r>
          </w:p>
        </w:tc>
        <w:tc>
          <w:tcPr>
            <w:tcW w:w="0" w:type="auto"/>
          </w:tcPr>
          <w:p w:rsidR="00D91D6E" w:rsidRDefault="004677F3">
            <w:r>
              <w:t>2.1.2/2.13</w:t>
            </w:r>
          </w:p>
        </w:tc>
      </w:tr>
      <w:tr w:rsidR="00D91D6E" w:rsidTr="00D91D6E">
        <w:tc>
          <w:tcPr>
            <w:tcW w:w="0" w:type="auto"/>
            <w:gridSpan w:val="8"/>
          </w:tcPr>
          <w:p w:rsidR="00D91D6E" w:rsidRDefault="004677F3">
            <w:r>
              <w:rPr>
                <w:b/>
              </w:rPr>
              <w:t>Transferred from WGIV:</w:t>
            </w:r>
          </w:p>
        </w:tc>
      </w:tr>
      <w:tr w:rsidR="00D91D6E" w:rsidTr="00D91D6E">
        <w:tc>
          <w:tcPr>
            <w:tcW w:w="0" w:type="auto"/>
          </w:tcPr>
          <w:p w:rsidR="00D91D6E" w:rsidRDefault="004677F3">
            <w:r>
              <w:t>CGMS Task Force on Satellite Data and Codes,</w:t>
            </w:r>
            <w:r>
              <w:br/>
              <w:t>WMO</w:t>
            </w:r>
          </w:p>
        </w:tc>
        <w:tc>
          <w:tcPr>
            <w:tcW w:w="0" w:type="auto"/>
          </w:tcPr>
          <w:p w:rsidR="00D91D6E" w:rsidRDefault="004677F3">
            <w:r>
              <w:t>WGIV/5</w:t>
            </w:r>
          </w:p>
        </w:tc>
        <w:tc>
          <w:tcPr>
            <w:tcW w:w="0" w:type="auto"/>
          </w:tcPr>
          <w:p w:rsidR="00D91D6E" w:rsidRDefault="004677F3">
            <w:r>
              <w:t>WGIV/A49.02</w:t>
            </w:r>
          </w:p>
        </w:tc>
        <w:tc>
          <w:tcPr>
            <w:tcW w:w="0" w:type="auto"/>
          </w:tcPr>
          <w:p w:rsidR="00D91D6E" w:rsidRDefault="004677F3">
            <w:r>
              <w:t xml:space="preserve">The CGMS Task Force on Satellite </w:t>
            </w:r>
            <w:r>
              <w:t>Data and Codes to work closely with WMO on addressing the following points:</w:t>
            </w:r>
            <w:r>
              <w:br/>
            </w:r>
            <w:r>
              <w:br/>
            </w:r>
            <w:proofErr w:type="spellStart"/>
            <w:r>
              <w:t>i</w:t>
            </w:r>
            <w:proofErr w:type="spellEnd"/>
            <w:r>
              <w:t>. Linking between OSCAR/Space and the WSI and/or CCT C-5 identifiers (WMO internal)</w:t>
            </w:r>
            <w:r>
              <w:br/>
              <w:t>ii. Potential extension of the use of the Issue Number in the WSI for satellites in order to e</w:t>
            </w:r>
            <w:r>
              <w:t>xplicitly indicate metadata which are otherwise only implicitly embedded in the Local Identifier  (CGMS-50)</w:t>
            </w:r>
            <w:r>
              <w:br/>
              <w:t>iii. Identification of when and how the WSI should be included in the satellite products exchanges in the context of the WIGOS (CGMS-50)</w:t>
            </w:r>
            <w:r>
              <w:br/>
            </w:r>
            <w:r>
              <w:br/>
              <w:t>(ref  CGMS</w:t>
            </w:r>
            <w:r>
              <w:t>-49-WMO-WP-08)</w:t>
            </w:r>
          </w:p>
        </w:tc>
        <w:tc>
          <w:tcPr>
            <w:tcW w:w="0" w:type="auto"/>
          </w:tcPr>
          <w:p w:rsidR="00D91D6E" w:rsidRDefault="004677F3">
            <w:r>
              <w:rPr>
                <w:i/>
              </w:rPr>
              <w:t>CGMS-50: This activity will now be covered in WGI.</w:t>
            </w:r>
            <w:r>
              <w:br/>
            </w:r>
            <w:r>
              <w:br/>
              <w:t xml:space="preserve">2022 11 Apr: Transferred to WGI.  To be discussed with WMO (Simon, Chair, to follow up).  WMO will first complete the ongoing WSI for satellites design and documentation in WIGOS Guide and </w:t>
            </w:r>
            <w:r>
              <w:t>its implementation in OSCAR/Space. CCT-C5 will be tentatively covered by that work.</w:t>
            </w:r>
            <w:r>
              <w:br/>
            </w:r>
            <w:r>
              <w:br/>
              <w:t>2022 18 Jan: WMO to address</w:t>
            </w:r>
            <w:r>
              <w:br/>
              <w:t>latest on 27 October, ongoing work, done through WGI</w:t>
            </w:r>
          </w:p>
        </w:tc>
        <w:tc>
          <w:tcPr>
            <w:tcW w:w="0" w:type="auto"/>
          </w:tcPr>
          <w:p w:rsidR="00D91D6E" w:rsidRDefault="004677F3">
            <w:r>
              <w:t>CGMS-50</w:t>
            </w:r>
          </w:p>
        </w:tc>
        <w:tc>
          <w:tcPr>
            <w:tcW w:w="0" w:type="auto"/>
          </w:tcPr>
          <w:p w:rsidR="00D91D6E" w:rsidRDefault="004677F3">
            <w:r>
              <w:t>OPEN</w:t>
            </w:r>
          </w:p>
        </w:tc>
        <w:tc>
          <w:tcPr>
            <w:tcW w:w="0" w:type="auto"/>
          </w:tcPr>
          <w:p w:rsidR="00D91D6E" w:rsidRDefault="004677F3">
            <w:r>
              <w:t>3.9.1</w:t>
            </w:r>
          </w:p>
        </w:tc>
      </w:tr>
    </w:tbl>
    <w:p w:rsidR="00D91D6E" w:rsidRDefault="00D91D6E"/>
    <w:sectPr w:rsidR="00D91D6E" w:rsidSect="008B1C6A">
      <w:footerReference w:type="default" r:id="rId16"/>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7F3" w:rsidRDefault="004677F3">
      <w:pPr>
        <w:spacing w:after="0"/>
      </w:pPr>
      <w:r>
        <w:separator/>
      </w:r>
    </w:p>
  </w:endnote>
  <w:endnote w:type="continuationSeparator" w:id="0">
    <w:p w:rsidR="004677F3" w:rsidRDefault="004677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Default="004677F3" w:rsidP="00D8012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221BC" w:rsidRDefault="00E221BC" w:rsidP="00D8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Pr="00910A82" w:rsidRDefault="004677F3" w:rsidP="00910A82">
    <w:pPr>
      <w:pStyle w:val="Footer"/>
    </w:pPr>
    <w:r w:rsidRPr="00910A82">
      <w:t>Table of Contents</w:t>
    </w:r>
    <w:r w:rsidR="0099728D" w:rsidRPr="00910A82">
      <w:t xml:space="preserve"> </w:t>
    </w:r>
    <w:r w:rsidR="00F021C2" w:rsidRPr="00910A82">
      <w:t xml:space="preserve">– </w:t>
    </w:r>
    <w:r w:rsidR="00F021C2" w:rsidRPr="00910A82">
      <w:fldChar w:fldCharType="begin"/>
    </w:r>
    <w:r w:rsidR="00F021C2" w:rsidRPr="00910A82">
      <w:instrText xml:space="preserve"> PAGE  \* MERGEFORMAT </w:instrText>
    </w:r>
    <w:r w:rsidR="00F021C2" w:rsidRPr="00910A82">
      <w:fldChar w:fldCharType="separate"/>
    </w:r>
    <w:r w:rsidR="00E54C56">
      <w:rPr>
        <w:noProof/>
      </w:rPr>
      <w:t>2</w:t>
    </w:r>
    <w:r w:rsidR="00F021C2" w:rsidRPr="00910A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82" w:rsidRPr="00D8012A" w:rsidRDefault="004677F3" w:rsidP="00D8012A">
    <w:pPr>
      <w:pStyle w:val="Footer"/>
    </w:pPr>
    <w:r>
      <w:fldChar w:fldCharType="begin"/>
    </w:r>
    <w:r>
      <w:instrText xml:space="preserve"> STYLEREF "Heading 1" </w:instrText>
    </w:r>
    <w:r>
      <w:fldChar w:fldCharType="separate"/>
    </w:r>
    <w:r w:rsidR="00E54C56">
      <w:rPr>
        <w:noProof/>
      </w:rPr>
      <w:t>History - WGI actions resulting from previous CGMS plenary sessions following CGMS-50</w:t>
    </w:r>
    <w:r>
      <w:rPr>
        <w:noProof/>
      </w:rPr>
      <w:fldChar w:fldCharType="end"/>
    </w:r>
    <w:r w:rsidRPr="00DF63C1">
      <w:t xml:space="preserve"> – </w:t>
    </w:r>
    <w:r w:rsidRPr="00D8012A">
      <w:fldChar w:fldCharType="begin"/>
    </w:r>
    <w:r w:rsidRPr="00D8012A">
      <w:instrText xml:space="preserve"> PAGE  \* MERGEFORMAT </w:instrText>
    </w:r>
    <w:r w:rsidRPr="00D8012A">
      <w:fldChar w:fldCharType="separate"/>
    </w:r>
    <w:r w:rsidR="00E54C56">
      <w:rPr>
        <w:noProof/>
      </w:rPr>
      <w:t>16</w:t>
    </w:r>
    <w:r w:rsidRPr="00D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7F3" w:rsidRDefault="004677F3">
      <w:pPr>
        <w:spacing w:after="0"/>
      </w:pPr>
      <w:r>
        <w:separator/>
      </w:r>
    </w:p>
  </w:footnote>
  <w:footnote w:type="continuationSeparator" w:id="0">
    <w:p w:rsidR="004677F3" w:rsidRDefault="004677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Pr="004E4DAA" w:rsidRDefault="004677F3" w:rsidP="004E4DAA">
    <w:pPr>
      <w:pStyle w:val="Header"/>
      <w:jc w:val="right"/>
      <w:rPr>
        <w:sz w:val="18"/>
        <w:szCs w:val="18"/>
      </w:rPr>
    </w:pPr>
    <w:r w:rsidRPr="009D3DE2">
      <w:rPr>
        <w:sz w:val="18"/>
        <w:szCs w:val="18"/>
      </w:rPr>
      <w:t>SCIR International Cooperation – CGMS-50 WGI actions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E3" w:rsidRDefault="00A1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E27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EE2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9A35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2C5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86A4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8A91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5FABD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7E65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1E83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4082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A2A7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2DCE6AE3"/>
    <w:multiLevelType w:val="hybridMultilevel"/>
    <w:tmpl w:val="47A60034"/>
    <w:lvl w:ilvl="0" w:tplc="73BC4ECC">
      <w:numFmt w:val="bullet"/>
      <w:lvlText w:val="–"/>
      <w:lvlJc w:val="left"/>
      <w:pPr>
        <w:ind w:left="720" w:hanging="360"/>
      </w:pPr>
      <w:rPr>
        <w:rFonts w:ascii="Source Sans Pro" w:eastAsia="Times New Roman" w:hAnsi="Source Sans Pro" w:cs="Times New Roman" w:hint="default"/>
      </w:rPr>
    </w:lvl>
    <w:lvl w:ilvl="1" w:tplc="6A3E2438" w:tentative="1">
      <w:start w:val="1"/>
      <w:numFmt w:val="bullet"/>
      <w:lvlText w:val="o"/>
      <w:lvlJc w:val="left"/>
      <w:pPr>
        <w:ind w:left="1440" w:hanging="360"/>
      </w:pPr>
      <w:rPr>
        <w:rFonts w:ascii="Courier New" w:hAnsi="Courier New" w:cs="Courier New" w:hint="default"/>
      </w:rPr>
    </w:lvl>
    <w:lvl w:ilvl="2" w:tplc="D28CF936" w:tentative="1">
      <w:start w:val="1"/>
      <w:numFmt w:val="bullet"/>
      <w:lvlText w:val=""/>
      <w:lvlJc w:val="left"/>
      <w:pPr>
        <w:ind w:left="2160" w:hanging="360"/>
      </w:pPr>
      <w:rPr>
        <w:rFonts w:ascii="Wingdings" w:hAnsi="Wingdings" w:hint="default"/>
      </w:rPr>
    </w:lvl>
    <w:lvl w:ilvl="3" w:tplc="4502DE70" w:tentative="1">
      <w:start w:val="1"/>
      <w:numFmt w:val="bullet"/>
      <w:lvlText w:val=""/>
      <w:lvlJc w:val="left"/>
      <w:pPr>
        <w:ind w:left="2880" w:hanging="360"/>
      </w:pPr>
      <w:rPr>
        <w:rFonts w:ascii="Symbol" w:hAnsi="Symbol" w:hint="default"/>
      </w:rPr>
    </w:lvl>
    <w:lvl w:ilvl="4" w:tplc="F2543260" w:tentative="1">
      <w:start w:val="1"/>
      <w:numFmt w:val="bullet"/>
      <w:lvlText w:val="o"/>
      <w:lvlJc w:val="left"/>
      <w:pPr>
        <w:ind w:left="3600" w:hanging="360"/>
      </w:pPr>
      <w:rPr>
        <w:rFonts w:ascii="Courier New" w:hAnsi="Courier New" w:cs="Courier New" w:hint="default"/>
      </w:rPr>
    </w:lvl>
    <w:lvl w:ilvl="5" w:tplc="0BECDE0A" w:tentative="1">
      <w:start w:val="1"/>
      <w:numFmt w:val="bullet"/>
      <w:lvlText w:val=""/>
      <w:lvlJc w:val="left"/>
      <w:pPr>
        <w:ind w:left="4320" w:hanging="360"/>
      </w:pPr>
      <w:rPr>
        <w:rFonts w:ascii="Wingdings" w:hAnsi="Wingdings" w:hint="default"/>
      </w:rPr>
    </w:lvl>
    <w:lvl w:ilvl="6" w:tplc="BFACD728" w:tentative="1">
      <w:start w:val="1"/>
      <w:numFmt w:val="bullet"/>
      <w:lvlText w:val=""/>
      <w:lvlJc w:val="left"/>
      <w:pPr>
        <w:ind w:left="5040" w:hanging="360"/>
      </w:pPr>
      <w:rPr>
        <w:rFonts w:ascii="Symbol" w:hAnsi="Symbol" w:hint="default"/>
      </w:rPr>
    </w:lvl>
    <w:lvl w:ilvl="7" w:tplc="D534D50A" w:tentative="1">
      <w:start w:val="1"/>
      <w:numFmt w:val="bullet"/>
      <w:lvlText w:val="o"/>
      <w:lvlJc w:val="left"/>
      <w:pPr>
        <w:ind w:left="5760" w:hanging="360"/>
      </w:pPr>
      <w:rPr>
        <w:rFonts w:ascii="Courier New" w:hAnsi="Courier New" w:cs="Courier New" w:hint="default"/>
      </w:rPr>
    </w:lvl>
    <w:lvl w:ilvl="8" w:tplc="8E3E5D00" w:tentative="1">
      <w:start w:val="1"/>
      <w:numFmt w:val="bullet"/>
      <w:lvlText w:val=""/>
      <w:lvlJc w:val="left"/>
      <w:pPr>
        <w:ind w:left="6480" w:hanging="360"/>
      </w:pPr>
      <w:rPr>
        <w:rFonts w:ascii="Wingdings" w:hAnsi="Wingdings" w:hint="default"/>
      </w:rPr>
    </w:lvl>
  </w:abstractNum>
  <w:abstractNum w:abstractNumId="13" w15:restartNumberingAfterBreak="0">
    <w:nsid w:val="447152DC"/>
    <w:multiLevelType w:val="multilevel"/>
    <w:tmpl w:val="560458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BA53E42"/>
    <w:multiLevelType w:val="hybridMultilevel"/>
    <w:tmpl w:val="FBFA5712"/>
    <w:lvl w:ilvl="0" w:tplc="53E02150">
      <w:numFmt w:val="bullet"/>
      <w:lvlText w:val="–"/>
      <w:lvlJc w:val="left"/>
      <w:pPr>
        <w:ind w:left="720" w:hanging="360"/>
      </w:pPr>
      <w:rPr>
        <w:rFonts w:ascii="Source Sans Pro" w:eastAsia="Times New Roman" w:hAnsi="Source Sans Pro" w:cs="Times New Roman" w:hint="default"/>
      </w:rPr>
    </w:lvl>
    <w:lvl w:ilvl="1" w:tplc="3C62CE90" w:tentative="1">
      <w:start w:val="1"/>
      <w:numFmt w:val="bullet"/>
      <w:lvlText w:val="o"/>
      <w:lvlJc w:val="left"/>
      <w:pPr>
        <w:ind w:left="1440" w:hanging="360"/>
      </w:pPr>
      <w:rPr>
        <w:rFonts w:ascii="Courier New" w:hAnsi="Courier New" w:cs="Courier New" w:hint="default"/>
      </w:rPr>
    </w:lvl>
    <w:lvl w:ilvl="2" w:tplc="27320F88" w:tentative="1">
      <w:start w:val="1"/>
      <w:numFmt w:val="bullet"/>
      <w:lvlText w:val=""/>
      <w:lvlJc w:val="left"/>
      <w:pPr>
        <w:ind w:left="2160" w:hanging="360"/>
      </w:pPr>
      <w:rPr>
        <w:rFonts w:ascii="Wingdings" w:hAnsi="Wingdings" w:hint="default"/>
      </w:rPr>
    </w:lvl>
    <w:lvl w:ilvl="3" w:tplc="3CD2BFF6" w:tentative="1">
      <w:start w:val="1"/>
      <w:numFmt w:val="bullet"/>
      <w:lvlText w:val=""/>
      <w:lvlJc w:val="left"/>
      <w:pPr>
        <w:ind w:left="2880" w:hanging="360"/>
      </w:pPr>
      <w:rPr>
        <w:rFonts w:ascii="Symbol" w:hAnsi="Symbol" w:hint="default"/>
      </w:rPr>
    </w:lvl>
    <w:lvl w:ilvl="4" w:tplc="E0F00860" w:tentative="1">
      <w:start w:val="1"/>
      <w:numFmt w:val="bullet"/>
      <w:lvlText w:val="o"/>
      <w:lvlJc w:val="left"/>
      <w:pPr>
        <w:ind w:left="3600" w:hanging="360"/>
      </w:pPr>
      <w:rPr>
        <w:rFonts w:ascii="Courier New" w:hAnsi="Courier New" w:cs="Courier New" w:hint="default"/>
      </w:rPr>
    </w:lvl>
    <w:lvl w:ilvl="5" w:tplc="A5C8614A" w:tentative="1">
      <w:start w:val="1"/>
      <w:numFmt w:val="bullet"/>
      <w:lvlText w:val=""/>
      <w:lvlJc w:val="left"/>
      <w:pPr>
        <w:ind w:left="4320" w:hanging="360"/>
      </w:pPr>
      <w:rPr>
        <w:rFonts w:ascii="Wingdings" w:hAnsi="Wingdings" w:hint="default"/>
      </w:rPr>
    </w:lvl>
    <w:lvl w:ilvl="6" w:tplc="D4C29228" w:tentative="1">
      <w:start w:val="1"/>
      <w:numFmt w:val="bullet"/>
      <w:lvlText w:val=""/>
      <w:lvlJc w:val="left"/>
      <w:pPr>
        <w:ind w:left="5040" w:hanging="360"/>
      </w:pPr>
      <w:rPr>
        <w:rFonts w:ascii="Symbol" w:hAnsi="Symbol" w:hint="default"/>
      </w:rPr>
    </w:lvl>
    <w:lvl w:ilvl="7" w:tplc="A216AB96" w:tentative="1">
      <w:start w:val="1"/>
      <w:numFmt w:val="bullet"/>
      <w:lvlText w:val="o"/>
      <w:lvlJc w:val="left"/>
      <w:pPr>
        <w:ind w:left="5760" w:hanging="360"/>
      </w:pPr>
      <w:rPr>
        <w:rFonts w:ascii="Courier New" w:hAnsi="Courier New" w:cs="Courier New" w:hint="default"/>
      </w:rPr>
    </w:lvl>
    <w:lvl w:ilvl="8" w:tplc="3B5206D6" w:tentative="1">
      <w:start w:val="1"/>
      <w:numFmt w:val="bullet"/>
      <w:lvlText w:val=""/>
      <w:lvlJc w:val="left"/>
      <w:pPr>
        <w:ind w:left="6480" w:hanging="360"/>
      </w:pPr>
      <w:rPr>
        <w:rFonts w:ascii="Wingdings" w:hAnsi="Wingdings" w:hint="default"/>
      </w:rPr>
    </w:lvl>
  </w:abstractNum>
  <w:abstractNum w:abstractNumId="15"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DF627B5"/>
    <w:multiLevelType w:val="hybridMultilevel"/>
    <w:tmpl w:val="7DF627B5"/>
    <w:lvl w:ilvl="0" w:tplc="2E70DAE6">
      <w:start w:val="1"/>
      <w:numFmt w:val="bullet"/>
      <w:lvlText w:val=""/>
      <w:lvlJc w:val="left"/>
      <w:pPr>
        <w:tabs>
          <w:tab w:val="num" w:pos="360"/>
        </w:tabs>
        <w:ind w:left="360" w:hanging="360"/>
      </w:pPr>
      <w:rPr>
        <w:rFonts w:ascii="Symbol" w:hAnsi="Symbol"/>
      </w:rPr>
    </w:lvl>
    <w:lvl w:ilvl="1" w:tplc="6ACEF7F8">
      <w:start w:val="1"/>
      <w:numFmt w:val="bullet"/>
      <w:lvlText w:val="o"/>
      <w:lvlJc w:val="left"/>
      <w:pPr>
        <w:tabs>
          <w:tab w:val="num" w:pos="1080"/>
        </w:tabs>
        <w:ind w:left="1080" w:hanging="360"/>
      </w:pPr>
      <w:rPr>
        <w:rFonts w:ascii="Courier New" w:hAnsi="Courier New"/>
      </w:rPr>
    </w:lvl>
    <w:lvl w:ilvl="2" w:tplc="A48AE480">
      <w:start w:val="1"/>
      <w:numFmt w:val="bullet"/>
      <w:lvlText w:val=""/>
      <w:lvlJc w:val="left"/>
      <w:pPr>
        <w:tabs>
          <w:tab w:val="num" w:pos="1800"/>
        </w:tabs>
        <w:ind w:left="1800" w:hanging="360"/>
      </w:pPr>
      <w:rPr>
        <w:rFonts w:ascii="Wingdings" w:hAnsi="Wingdings"/>
      </w:rPr>
    </w:lvl>
    <w:lvl w:ilvl="3" w:tplc="AFDC3AC4">
      <w:start w:val="1"/>
      <w:numFmt w:val="bullet"/>
      <w:lvlText w:val=""/>
      <w:lvlJc w:val="left"/>
      <w:pPr>
        <w:tabs>
          <w:tab w:val="num" w:pos="2520"/>
        </w:tabs>
        <w:ind w:left="2520" w:hanging="360"/>
      </w:pPr>
      <w:rPr>
        <w:rFonts w:ascii="Symbol" w:hAnsi="Symbol"/>
      </w:rPr>
    </w:lvl>
    <w:lvl w:ilvl="4" w:tplc="DB90B97A">
      <w:start w:val="1"/>
      <w:numFmt w:val="bullet"/>
      <w:lvlText w:val="o"/>
      <w:lvlJc w:val="left"/>
      <w:pPr>
        <w:tabs>
          <w:tab w:val="num" w:pos="3240"/>
        </w:tabs>
        <w:ind w:left="3240" w:hanging="360"/>
      </w:pPr>
      <w:rPr>
        <w:rFonts w:ascii="Courier New" w:hAnsi="Courier New"/>
      </w:rPr>
    </w:lvl>
    <w:lvl w:ilvl="5" w:tplc="F80432DC">
      <w:start w:val="1"/>
      <w:numFmt w:val="bullet"/>
      <w:lvlText w:val=""/>
      <w:lvlJc w:val="left"/>
      <w:pPr>
        <w:tabs>
          <w:tab w:val="num" w:pos="3960"/>
        </w:tabs>
        <w:ind w:left="3960" w:hanging="360"/>
      </w:pPr>
      <w:rPr>
        <w:rFonts w:ascii="Wingdings" w:hAnsi="Wingdings"/>
      </w:rPr>
    </w:lvl>
    <w:lvl w:ilvl="6" w:tplc="9F5C1054">
      <w:start w:val="1"/>
      <w:numFmt w:val="bullet"/>
      <w:lvlText w:val=""/>
      <w:lvlJc w:val="left"/>
      <w:pPr>
        <w:tabs>
          <w:tab w:val="num" w:pos="4680"/>
        </w:tabs>
        <w:ind w:left="4680" w:hanging="360"/>
      </w:pPr>
      <w:rPr>
        <w:rFonts w:ascii="Symbol" w:hAnsi="Symbol"/>
      </w:rPr>
    </w:lvl>
    <w:lvl w:ilvl="7" w:tplc="D9EE35C4">
      <w:start w:val="1"/>
      <w:numFmt w:val="bullet"/>
      <w:lvlText w:val="o"/>
      <w:lvlJc w:val="left"/>
      <w:pPr>
        <w:tabs>
          <w:tab w:val="num" w:pos="5400"/>
        </w:tabs>
        <w:ind w:left="5400" w:hanging="360"/>
      </w:pPr>
      <w:rPr>
        <w:rFonts w:ascii="Courier New" w:hAnsi="Courier New"/>
      </w:rPr>
    </w:lvl>
    <w:lvl w:ilvl="8" w:tplc="18DC2BA4">
      <w:start w:val="1"/>
      <w:numFmt w:val="bullet"/>
      <w:lvlText w:val=""/>
      <w:lvlJc w:val="left"/>
      <w:pPr>
        <w:tabs>
          <w:tab w:val="num" w:pos="6120"/>
        </w:tabs>
        <w:ind w:left="6120" w:hanging="360"/>
      </w:pPr>
      <w:rPr>
        <w:rFonts w:ascii="Wingdings" w:hAnsi="Wingdings"/>
      </w:rPr>
    </w:lvl>
  </w:abstractNum>
  <w:abstractNum w:abstractNumId="19" w15:restartNumberingAfterBreak="0">
    <w:nsid w:val="7DF627B6"/>
    <w:multiLevelType w:val="hybridMultilevel"/>
    <w:tmpl w:val="7DF627B6"/>
    <w:lvl w:ilvl="0" w:tplc="1D54AA5E">
      <w:start w:val="1"/>
      <w:numFmt w:val="bullet"/>
      <w:lvlText w:val=""/>
      <w:lvlJc w:val="left"/>
      <w:pPr>
        <w:tabs>
          <w:tab w:val="num" w:pos="360"/>
        </w:tabs>
        <w:ind w:left="360" w:hanging="360"/>
      </w:pPr>
      <w:rPr>
        <w:rFonts w:ascii="Symbol" w:hAnsi="Symbol"/>
      </w:rPr>
    </w:lvl>
    <w:lvl w:ilvl="1" w:tplc="796E0564">
      <w:start w:val="1"/>
      <w:numFmt w:val="bullet"/>
      <w:lvlText w:val="o"/>
      <w:lvlJc w:val="left"/>
      <w:pPr>
        <w:tabs>
          <w:tab w:val="num" w:pos="1080"/>
        </w:tabs>
        <w:ind w:left="1080" w:hanging="360"/>
      </w:pPr>
      <w:rPr>
        <w:rFonts w:ascii="Courier New" w:hAnsi="Courier New"/>
      </w:rPr>
    </w:lvl>
    <w:lvl w:ilvl="2" w:tplc="1B4CA4D0">
      <w:start w:val="1"/>
      <w:numFmt w:val="bullet"/>
      <w:lvlText w:val=""/>
      <w:lvlJc w:val="left"/>
      <w:pPr>
        <w:tabs>
          <w:tab w:val="num" w:pos="1800"/>
        </w:tabs>
        <w:ind w:left="1800" w:hanging="360"/>
      </w:pPr>
      <w:rPr>
        <w:rFonts w:ascii="Wingdings" w:hAnsi="Wingdings"/>
      </w:rPr>
    </w:lvl>
    <w:lvl w:ilvl="3" w:tplc="368018A2">
      <w:start w:val="1"/>
      <w:numFmt w:val="bullet"/>
      <w:lvlText w:val=""/>
      <w:lvlJc w:val="left"/>
      <w:pPr>
        <w:tabs>
          <w:tab w:val="num" w:pos="2520"/>
        </w:tabs>
        <w:ind w:left="2520" w:hanging="360"/>
      </w:pPr>
      <w:rPr>
        <w:rFonts w:ascii="Symbol" w:hAnsi="Symbol"/>
      </w:rPr>
    </w:lvl>
    <w:lvl w:ilvl="4" w:tplc="7E60912C">
      <w:start w:val="1"/>
      <w:numFmt w:val="bullet"/>
      <w:lvlText w:val="o"/>
      <w:lvlJc w:val="left"/>
      <w:pPr>
        <w:tabs>
          <w:tab w:val="num" w:pos="3240"/>
        </w:tabs>
        <w:ind w:left="3240" w:hanging="360"/>
      </w:pPr>
      <w:rPr>
        <w:rFonts w:ascii="Courier New" w:hAnsi="Courier New"/>
      </w:rPr>
    </w:lvl>
    <w:lvl w:ilvl="5" w:tplc="D77EBA36">
      <w:start w:val="1"/>
      <w:numFmt w:val="bullet"/>
      <w:lvlText w:val=""/>
      <w:lvlJc w:val="left"/>
      <w:pPr>
        <w:tabs>
          <w:tab w:val="num" w:pos="3960"/>
        </w:tabs>
        <w:ind w:left="3960" w:hanging="360"/>
      </w:pPr>
      <w:rPr>
        <w:rFonts w:ascii="Wingdings" w:hAnsi="Wingdings"/>
      </w:rPr>
    </w:lvl>
    <w:lvl w:ilvl="6" w:tplc="2286B39E">
      <w:start w:val="1"/>
      <w:numFmt w:val="bullet"/>
      <w:lvlText w:val=""/>
      <w:lvlJc w:val="left"/>
      <w:pPr>
        <w:tabs>
          <w:tab w:val="num" w:pos="4680"/>
        </w:tabs>
        <w:ind w:left="4680" w:hanging="360"/>
      </w:pPr>
      <w:rPr>
        <w:rFonts w:ascii="Symbol" w:hAnsi="Symbol"/>
      </w:rPr>
    </w:lvl>
    <w:lvl w:ilvl="7" w:tplc="4DB442A8">
      <w:start w:val="1"/>
      <w:numFmt w:val="bullet"/>
      <w:lvlText w:val="o"/>
      <w:lvlJc w:val="left"/>
      <w:pPr>
        <w:tabs>
          <w:tab w:val="num" w:pos="5400"/>
        </w:tabs>
        <w:ind w:left="5400" w:hanging="360"/>
      </w:pPr>
      <w:rPr>
        <w:rFonts w:ascii="Courier New" w:hAnsi="Courier New"/>
      </w:rPr>
    </w:lvl>
    <w:lvl w:ilvl="8" w:tplc="B06C8F52">
      <w:start w:val="1"/>
      <w:numFmt w:val="bullet"/>
      <w:lvlText w:val=""/>
      <w:lvlJc w:val="left"/>
      <w:pPr>
        <w:tabs>
          <w:tab w:val="num" w:pos="6120"/>
        </w:tabs>
        <w:ind w:left="6120" w:hanging="360"/>
      </w:pPr>
      <w:rPr>
        <w:rFonts w:ascii="Wingdings" w:hAnsi="Wingdings"/>
      </w:rPr>
    </w:lvl>
  </w:abstractNum>
  <w:abstractNum w:abstractNumId="20"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C8"/>
    <w:multiLevelType w:val="hybridMultilevel"/>
    <w:tmpl w:val="7DF627C8"/>
    <w:lvl w:ilvl="0" w:tplc="5CCA0D14">
      <w:start w:val="1"/>
      <w:numFmt w:val="bullet"/>
      <w:lvlText w:val=""/>
      <w:lvlJc w:val="left"/>
      <w:pPr>
        <w:tabs>
          <w:tab w:val="num" w:pos="360"/>
        </w:tabs>
        <w:ind w:left="360" w:hanging="360"/>
      </w:pPr>
      <w:rPr>
        <w:rFonts w:ascii="Symbol" w:hAnsi="Symbol"/>
      </w:rPr>
    </w:lvl>
    <w:lvl w:ilvl="1" w:tplc="31FA9E8C">
      <w:start w:val="1"/>
      <w:numFmt w:val="bullet"/>
      <w:lvlText w:val="o"/>
      <w:lvlJc w:val="left"/>
      <w:pPr>
        <w:tabs>
          <w:tab w:val="num" w:pos="1080"/>
        </w:tabs>
        <w:ind w:left="1080" w:hanging="360"/>
      </w:pPr>
      <w:rPr>
        <w:rFonts w:ascii="Courier New" w:hAnsi="Courier New"/>
      </w:rPr>
    </w:lvl>
    <w:lvl w:ilvl="2" w:tplc="E5A0AE1A">
      <w:start w:val="1"/>
      <w:numFmt w:val="bullet"/>
      <w:lvlText w:val=""/>
      <w:lvlJc w:val="left"/>
      <w:pPr>
        <w:tabs>
          <w:tab w:val="num" w:pos="1800"/>
        </w:tabs>
        <w:ind w:left="1800" w:hanging="360"/>
      </w:pPr>
      <w:rPr>
        <w:rFonts w:ascii="Wingdings" w:hAnsi="Wingdings"/>
      </w:rPr>
    </w:lvl>
    <w:lvl w:ilvl="3" w:tplc="CB4248C6">
      <w:start w:val="1"/>
      <w:numFmt w:val="bullet"/>
      <w:lvlText w:val=""/>
      <w:lvlJc w:val="left"/>
      <w:pPr>
        <w:tabs>
          <w:tab w:val="num" w:pos="2520"/>
        </w:tabs>
        <w:ind w:left="2520" w:hanging="360"/>
      </w:pPr>
      <w:rPr>
        <w:rFonts w:ascii="Symbol" w:hAnsi="Symbol"/>
      </w:rPr>
    </w:lvl>
    <w:lvl w:ilvl="4" w:tplc="22848888">
      <w:start w:val="1"/>
      <w:numFmt w:val="bullet"/>
      <w:lvlText w:val="o"/>
      <w:lvlJc w:val="left"/>
      <w:pPr>
        <w:tabs>
          <w:tab w:val="num" w:pos="3240"/>
        </w:tabs>
        <w:ind w:left="3240" w:hanging="360"/>
      </w:pPr>
      <w:rPr>
        <w:rFonts w:ascii="Courier New" w:hAnsi="Courier New"/>
      </w:rPr>
    </w:lvl>
    <w:lvl w:ilvl="5" w:tplc="72CED2CC">
      <w:start w:val="1"/>
      <w:numFmt w:val="bullet"/>
      <w:lvlText w:val=""/>
      <w:lvlJc w:val="left"/>
      <w:pPr>
        <w:tabs>
          <w:tab w:val="num" w:pos="3960"/>
        </w:tabs>
        <w:ind w:left="3960" w:hanging="360"/>
      </w:pPr>
      <w:rPr>
        <w:rFonts w:ascii="Wingdings" w:hAnsi="Wingdings"/>
      </w:rPr>
    </w:lvl>
    <w:lvl w:ilvl="6" w:tplc="8452B41C">
      <w:start w:val="1"/>
      <w:numFmt w:val="bullet"/>
      <w:lvlText w:val=""/>
      <w:lvlJc w:val="left"/>
      <w:pPr>
        <w:tabs>
          <w:tab w:val="num" w:pos="4680"/>
        </w:tabs>
        <w:ind w:left="4680" w:hanging="360"/>
      </w:pPr>
      <w:rPr>
        <w:rFonts w:ascii="Symbol" w:hAnsi="Symbol"/>
      </w:rPr>
    </w:lvl>
    <w:lvl w:ilvl="7" w:tplc="1B5610D6">
      <w:start w:val="1"/>
      <w:numFmt w:val="bullet"/>
      <w:lvlText w:val="o"/>
      <w:lvlJc w:val="left"/>
      <w:pPr>
        <w:tabs>
          <w:tab w:val="num" w:pos="5400"/>
        </w:tabs>
        <w:ind w:left="5400" w:hanging="360"/>
      </w:pPr>
      <w:rPr>
        <w:rFonts w:ascii="Courier New" w:hAnsi="Courier New"/>
      </w:rPr>
    </w:lvl>
    <w:lvl w:ilvl="8" w:tplc="21C4C688">
      <w:start w:val="1"/>
      <w:numFmt w:val="bullet"/>
      <w:lvlText w:val=""/>
      <w:lvlJc w:val="left"/>
      <w:pPr>
        <w:tabs>
          <w:tab w:val="num" w:pos="6120"/>
        </w:tabs>
        <w:ind w:left="6120" w:hanging="360"/>
      </w:pPr>
      <w:rPr>
        <w:rFonts w:ascii="Wingdings" w:hAnsi="Wingdings"/>
      </w:rPr>
    </w:lvl>
  </w:abstractNum>
  <w:abstractNum w:abstractNumId="27"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C"/>
    <w:multiLevelType w:val="hybridMultilevel"/>
    <w:tmpl w:val="7DF627CC"/>
    <w:lvl w:ilvl="0" w:tplc="EB92C706">
      <w:start w:val="1"/>
      <w:numFmt w:val="bullet"/>
      <w:lvlText w:val=""/>
      <w:lvlJc w:val="left"/>
      <w:pPr>
        <w:tabs>
          <w:tab w:val="num" w:pos="360"/>
        </w:tabs>
        <w:ind w:left="360" w:hanging="360"/>
      </w:pPr>
      <w:rPr>
        <w:rFonts w:ascii="Symbol" w:hAnsi="Symbol"/>
      </w:rPr>
    </w:lvl>
    <w:lvl w:ilvl="1" w:tplc="A68A8F1A">
      <w:start w:val="1"/>
      <w:numFmt w:val="bullet"/>
      <w:lvlText w:val="o"/>
      <w:lvlJc w:val="left"/>
      <w:pPr>
        <w:tabs>
          <w:tab w:val="num" w:pos="1080"/>
        </w:tabs>
        <w:ind w:left="1080" w:hanging="360"/>
      </w:pPr>
      <w:rPr>
        <w:rFonts w:ascii="Courier New" w:hAnsi="Courier New"/>
      </w:rPr>
    </w:lvl>
    <w:lvl w:ilvl="2" w:tplc="52CCBC1C">
      <w:start w:val="1"/>
      <w:numFmt w:val="bullet"/>
      <w:lvlText w:val=""/>
      <w:lvlJc w:val="left"/>
      <w:pPr>
        <w:tabs>
          <w:tab w:val="num" w:pos="1800"/>
        </w:tabs>
        <w:ind w:left="1800" w:hanging="360"/>
      </w:pPr>
      <w:rPr>
        <w:rFonts w:ascii="Wingdings" w:hAnsi="Wingdings"/>
      </w:rPr>
    </w:lvl>
    <w:lvl w:ilvl="3" w:tplc="F7680A6E">
      <w:start w:val="1"/>
      <w:numFmt w:val="bullet"/>
      <w:lvlText w:val=""/>
      <w:lvlJc w:val="left"/>
      <w:pPr>
        <w:tabs>
          <w:tab w:val="num" w:pos="2520"/>
        </w:tabs>
        <w:ind w:left="2520" w:hanging="360"/>
      </w:pPr>
      <w:rPr>
        <w:rFonts w:ascii="Symbol" w:hAnsi="Symbol"/>
      </w:rPr>
    </w:lvl>
    <w:lvl w:ilvl="4" w:tplc="74BAA870">
      <w:start w:val="1"/>
      <w:numFmt w:val="bullet"/>
      <w:lvlText w:val="o"/>
      <w:lvlJc w:val="left"/>
      <w:pPr>
        <w:tabs>
          <w:tab w:val="num" w:pos="3240"/>
        </w:tabs>
        <w:ind w:left="3240" w:hanging="360"/>
      </w:pPr>
      <w:rPr>
        <w:rFonts w:ascii="Courier New" w:hAnsi="Courier New"/>
      </w:rPr>
    </w:lvl>
    <w:lvl w:ilvl="5" w:tplc="3F2608EC">
      <w:start w:val="1"/>
      <w:numFmt w:val="bullet"/>
      <w:lvlText w:val=""/>
      <w:lvlJc w:val="left"/>
      <w:pPr>
        <w:tabs>
          <w:tab w:val="num" w:pos="3960"/>
        </w:tabs>
        <w:ind w:left="3960" w:hanging="360"/>
      </w:pPr>
      <w:rPr>
        <w:rFonts w:ascii="Wingdings" w:hAnsi="Wingdings"/>
      </w:rPr>
    </w:lvl>
    <w:lvl w:ilvl="6" w:tplc="ACBE72FE">
      <w:start w:val="1"/>
      <w:numFmt w:val="bullet"/>
      <w:lvlText w:val=""/>
      <w:lvlJc w:val="left"/>
      <w:pPr>
        <w:tabs>
          <w:tab w:val="num" w:pos="4680"/>
        </w:tabs>
        <w:ind w:left="4680" w:hanging="360"/>
      </w:pPr>
      <w:rPr>
        <w:rFonts w:ascii="Symbol" w:hAnsi="Symbol"/>
      </w:rPr>
    </w:lvl>
    <w:lvl w:ilvl="7" w:tplc="EB187976">
      <w:start w:val="1"/>
      <w:numFmt w:val="bullet"/>
      <w:lvlText w:val="o"/>
      <w:lvlJc w:val="left"/>
      <w:pPr>
        <w:tabs>
          <w:tab w:val="num" w:pos="5400"/>
        </w:tabs>
        <w:ind w:left="5400" w:hanging="360"/>
      </w:pPr>
      <w:rPr>
        <w:rFonts w:ascii="Courier New" w:hAnsi="Courier New"/>
      </w:rPr>
    </w:lvl>
    <w:lvl w:ilvl="8" w:tplc="0680B13E">
      <w:start w:val="1"/>
      <w:numFmt w:val="bullet"/>
      <w:lvlText w:val=""/>
      <w:lvlJc w:val="left"/>
      <w:pPr>
        <w:tabs>
          <w:tab w:val="num" w:pos="6120"/>
        </w:tabs>
        <w:ind w:left="6120" w:hanging="360"/>
      </w:pPr>
      <w:rPr>
        <w:rFonts w:ascii="Wingdings" w:hAnsi="Wingdings"/>
      </w:rPr>
    </w:lvl>
  </w:abstractNum>
  <w:abstractNum w:abstractNumId="31" w15:restartNumberingAfterBreak="0">
    <w:nsid w:val="7DF627CD"/>
    <w:multiLevelType w:val="hybridMultilevel"/>
    <w:tmpl w:val="7DF627CD"/>
    <w:lvl w:ilvl="0" w:tplc="5EDEDC6C">
      <w:start w:val="1"/>
      <w:numFmt w:val="bullet"/>
      <w:lvlText w:val=""/>
      <w:lvlJc w:val="left"/>
      <w:pPr>
        <w:tabs>
          <w:tab w:val="num" w:pos="360"/>
        </w:tabs>
        <w:ind w:left="360" w:hanging="360"/>
      </w:pPr>
      <w:rPr>
        <w:rFonts w:ascii="Symbol" w:hAnsi="Symbol"/>
      </w:rPr>
    </w:lvl>
    <w:lvl w:ilvl="1" w:tplc="D3A61F8A">
      <w:start w:val="1"/>
      <w:numFmt w:val="bullet"/>
      <w:lvlText w:val="o"/>
      <w:lvlJc w:val="left"/>
      <w:pPr>
        <w:tabs>
          <w:tab w:val="num" w:pos="1080"/>
        </w:tabs>
        <w:ind w:left="1080" w:hanging="360"/>
      </w:pPr>
      <w:rPr>
        <w:rFonts w:ascii="Courier New" w:hAnsi="Courier New"/>
      </w:rPr>
    </w:lvl>
    <w:lvl w:ilvl="2" w:tplc="34ECA428">
      <w:start w:val="1"/>
      <w:numFmt w:val="bullet"/>
      <w:lvlText w:val=""/>
      <w:lvlJc w:val="left"/>
      <w:pPr>
        <w:tabs>
          <w:tab w:val="num" w:pos="1800"/>
        </w:tabs>
        <w:ind w:left="1800" w:hanging="360"/>
      </w:pPr>
      <w:rPr>
        <w:rFonts w:ascii="Wingdings" w:hAnsi="Wingdings"/>
      </w:rPr>
    </w:lvl>
    <w:lvl w:ilvl="3" w:tplc="05C6F94C">
      <w:start w:val="1"/>
      <w:numFmt w:val="bullet"/>
      <w:lvlText w:val=""/>
      <w:lvlJc w:val="left"/>
      <w:pPr>
        <w:tabs>
          <w:tab w:val="num" w:pos="2520"/>
        </w:tabs>
        <w:ind w:left="2520" w:hanging="360"/>
      </w:pPr>
      <w:rPr>
        <w:rFonts w:ascii="Symbol" w:hAnsi="Symbol"/>
      </w:rPr>
    </w:lvl>
    <w:lvl w:ilvl="4" w:tplc="6FF8F256">
      <w:start w:val="1"/>
      <w:numFmt w:val="bullet"/>
      <w:lvlText w:val="o"/>
      <w:lvlJc w:val="left"/>
      <w:pPr>
        <w:tabs>
          <w:tab w:val="num" w:pos="3240"/>
        </w:tabs>
        <w:ind w:left="3240" w:hanging="360"/>
      </w:pPr>
      <w:rPr>
        <w:rFonts w:ascii="Courier New" w:hAnsi="Courier New"/>
      </w:rPr>
    </w:lvl>
    <w:lvl w:ilvl="5" w:tplc="4F70E42E">
      <w:start w:val="1"/>
      <w:numFmt w:val="bullet"/>
      <w:lvlText w:val=""/>
      <w:lvlJc w:val="left"/>
      <w:pPr>
        <w:tabs>
          <w:tab w:val="num" w:pos="3960"/>
        </w:tabs>
        <w:ind w:left="3960" w:hanging="360"/>
      </w:pPr>
      <w:rPr>
        <w:rFonts w:ascii="Wingdings" w:hAnsi="Wingdings"/>
      </w:rPr>
    </w:lvl>
    <w:lvl w:ilvl="6" w:tplc="47CA8EB4">
      <w:start w:val="1"/>
      <w:numFmt w:val="bullet"/>
      <w:lvlText w:val=""/>
      <w:lvlJc w:val="left"/>
      <w:pPr>
        <w:tabs>
          <w:tab w:val="num" w:pos="4680"/>
        </w:tabs>
        <w:ind w:left="4680" w:hanging="360"/>
      </w:pPr>
      <w:rPr>
        <w:rFonts w:ascii="Symbol" w:hAnsi="Symbol"/>
      </w:rPr>
    </w:lvl>
    <w:lvl w:ilvl="7" w:tplc="25A0E266">
      <w:start w:val="1"/>
      <w:numFmt w:val="bullet"/>
      <w:lvlText w:val="o"/>
      <w:lvlJc w:val="left"/>
      <w:pPr>
        <w:tabs>
          <w:tab w:val="num" w:pos="5400"/>
        </w:tabs>
        <w:ind w:left="5400" w:hanging="360"/>
      </w:pPr>
      <w:rPr>
        <w:rFonts w:ascii="Courier New" w:hAnsi="Courier New"/>
      </w:rPr>
    </w:lvl>
    <w:lvl w:ilvl="8" w:tplc="DE26DF0E">
      <w:start w:val="1"/>
      <w:numFmt w:val="bullet"/>
      <w:lvlText w:val=""/>
      <w:lvlJc w:val="left"/>
      <w:pPr>
        <w:tabs>
          <w:tab w:val="num" w:pos="6120"/>
        </w:tabs>
        <w:ind w:left="6120" w:hanging="360"/>
      </w:pPr>
      <w:rPr>
        <w:rFonts w:ascii="Wingdings" w:hAnsi="Wingdings"/>
      </w:rPr>
    </w:lvl>
  </w:abstractNum>
  <w:abstractNum w:abstractNumId="32" w15:restartNumberingAfterBreak="0">
    <w:nsid w:val="7DF627CE"/>
    <w:multiLevelType w:val="hybridMultilevel"/>
    <w:tmpl w:val="7DF627CE"/>
    <w:lvl w:ilvl="0" w:tplc="7DB2A088">
      <w:start w:val="1"/>
      <w:numFmt w:val="bullet"/>
      <w:lvlText w:val=""/>
      <w:lvlJc w:val="left"/>
      <w:pPr>
        <w:tabs>
          <w:tab w:val="num" w:pos="720"/>
        </w:tabs>
        <w:ind w:left="720" w:hanging="360"/>
      </w:pPr>
      <w:rPr>
        <w:rFonts w:ascii="Symbol" w:hAnsi="Symbol"/>
      </w:rPr>
    </w:lvl>
    <w:lvl w:ilvl="1" w:tplc="302A0C2A">
      <w:start w:val="1"/>
      <w:numFmt w:val="bullet"/>
      <w:lvlText w:val="o"/>
      <w:lvlJc w:val="left"/>
      <w:pPr>
        <w:tabs>
          <w:tab w:val="num" w:pos="1440"/>
        </w:tabs>
        <w:ind w:left="1440" w:hanging="360"/>
      </w:pPr>
      <w:rPr>
        <w:rFonts w:ascii="Courier New" w:hAnsi="Courier New"/>
      </w:rPr>
    </w:lvl>
    <w:lvl w:ilvl="2" w:tplc="1F94CBF0">
      <w:start w:val="1"/>
      <w:numFmt w:val="bullet"/>
      <w:lvlText w:val=""/>
      <w:lvlJc w:val="left"/>
      <w:pPr>
        <w:tabs>
          <w:tab w:val="num" w:pos="2160"/>
        </w:tabs>
        <w:ind w:left="2160" w:hanging="360"/>
      </w:pPr>
      <w:rPr>
        <w:rFonts w:ascii="Wingdings" w:hAnsi="Wingdings"/>
      </w:rPr>
    </w:lvl>
    <w:lvl w:ilvl="3" w:tplc="42065672">
      <w:start w:val="1"/>
      <w:numFmt w:val="bullet"/>
      <w:lvlText w:val=""/>
      <w:lvlJc w:val="left"/>
      <w:pPr>
        <w:tabs>
          <w:tab w:val="num" w:pos="2880"/>
        </w:tabs>
        <w:ind w:left="2880" w:hanging="360"/>
      </w:pPr>
      <w:rPr>
        <w:rFonts w:ascii="Symbol" w:hAnsi="Symbol"/>
      </w:rPr>
    </w:lvl>
    <w:lvl w:ilvl="4" w:tplc="C0E248A2">
      <w:start w:val="1"/>
      <w:numFmt w:val="bullet"/>
      <w:lvlText w:val="o"/>
      <w:lvlJc w:val="left"/>
      <w:pPr>
        <w:tabs>
          <w:tab w:val="num" w:pos="3600"/>
        </w:tabs>
        <w:ind w:left="3600" w:hanging="360"/>
      </w:pPr>
      <w:rPr>
        <w:rFonts w:ascii="Courier New" w:hAnsi="Courier New"/>
      </w:rPr>
    </w:lvl>
    <w:lvl w:ilvl="5" w:tplc="0412804E">
      <w:start w:val="1"/>
      <w:numFmt w:val="bullet"/>
      <w:lvlText w:val=""/>
      <w:lvlJc w:val="left"/>
      <w:pPr>
        <w:tabs>
          <w:tab w:val="num" w:pos="4320"/>
        </w:tabs>
        <w:ind w:left="4320" w:hanging="360"/>
      </w:pPr>
      <w:rPr>
        <w:rFonts w:ascii="Wingdings" w:hAnsi="Wingdings"/>
      </w:rPr>
    </w:lvl>
    <w:lvl w:ilvl="6" w:tplc="AEBE3708">
      <w:start w:val="1"/>
      <w:numFmt w:val="bullet"/>
      <w:lvlText w:val=""/>
      <w:lvlJc w:val="left"/>
      <w:pPr>
        <w:tabs>
          <w:tab w:val="num" w:pos="5040"/>
        </w:tabs>
        <w:ind w:left="5040" w:hanging="360"/>
      </w:pPr>
      <w:rPr>
        <w:rFonts w:ascii="Symbol" w:hAnsi="Symbol"/>
      </w:rPr>
    </w:lvl>
    <w:lvl w:ilvl="7" w:tplc="95C2A5B4">
      <w:start w:val="1"/>
      <w:numFmt w:val="bullet"/>
      <w:lvlText w:val="o"/>
      <w:lvlJc w:val="left"/>
      <w:pPr>
        <w:tabs>
          <w:tab w:val="num" w:pos="5760"/>
        </w:tabs>
        <w:ind w:left="5760" w:hanging="360"/>
      </w:pPr>
      <w:rPr>
        <w:rFonts w:ascii="Courier New" w:hAnsi="Courier New"/>
      </w:rPr>
    </w:lvl>
    <w:lvl w:ilvl="8" w:tplc="6364873E">
      <w:start w:val="1"/>
      <w:numFmt w:val="bullet"/>
      <w:lvlText w:val=""/>
      <w:lvlJc w:val="left"/>
      <w:pPr>
        <w:tabs>
          <w:tab w:val="num" w:pos="6480"/>
        </w:tabs>
        <w:ind w:left="6480" w:hanging="360"/>
      </w:pPr>
      <w:rPr>
        <w:rFonts w:ascii="Wingdings" w:hAnsi="Wingdings"/>
      </w:rPr>
    </w:lvl>
  </w:abstractNum>
  <w:num w:numId="1">
    <w:abstractNumId w:val="15"/>
  </w:num>
  <w:num w:numId="2">
    <w:abstractNumId w:val="13"/>
  </w:num>
  <w:num w:numId="3">
    <w:abstractNumId w:val="11"/>
  </w:num>
  <w:num w:numId="4">
    <w:abstractNumId w:val="16"/>
  </w:num>
  <w:num w:numId="5">
    <w:abstractNumId w:val="17"/>
  </w:num>
  <w:num w:numId="6">
    <w:abstractNumId w:val="18"/>
  </w:num>
  <w:num w:numId="7">
    <w:abstractNumId w:val="19"/>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4"/>
  </w:num>
  <w:num w:numId="28">
    <w:abstractNumId w:val="12"/>
  </w:num>
  <w:num w:numId="29">
    <w:abstractNumId w:val="28"/>
  </w:num>
  <w:num w:numId="30">
    <w:abstractNumId w:val="29"/>
  </w:num>
  <w:num w:numId="31">
    <w:abstractNumId w:val="30"/>
  </w:num>
  <w:num w:numId="32">
    <w:abstractNumId w:val="31"/>
  </w:num>
  <w:num w:numId="33">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25CDE"/>
    <w:rsid w:val="00042947"/>
    <w:rsid w:val="00053BAB"/>
    <w:rsid w:val="00055224"/>
    <w:rsid w:val="00091F1E"/>
    <w:rsid w:val="000B1C98"/>
    <w:rsid w:val="000D499C"/>
    <w:rsid w:val="000E57ED"/>
    <w:rsid w:val="00102A51"/>
    <w:rsid w:val="0013593A"/>
    <w:rsid w:val="00141222"/>
    <w:rsid w:val="00146C45"/>
    <w:rsid w:val="0015478B"/>
    <w:rsid w:val="00156F0D"/>
    <w:rsid w:val="00173B90"/>
    <w:rsid w:val="00177C6C"/>
    <w:rsid w:val="001821A8"/>
    <w:rsid w:val="001872D4"/>
    <w:rsid w:val="0019521D"/>
    <w:rsid w:val="001A1360"/>
    <w:rsid w:val="001D03A9"/>
    <w:rsid w:val="001D59F7"/>
    <w:rsid w:val="001D75EA"/>
    <w:rsid w:val="001E3B1B"/>
    <w:rsid w:val="00201B47"/>
    <w:rsid w:val="0021001B"/>
    <w:rsid w:val="0021544B"/>
    <w:rsid w:val="00216D0B"/>
    <w:rsid w:val="00220E40"/>
    <w:rsid w:val="00225F28"/>
    <w:rsid w:val="00232F89"/>
    <w:rsid w:val="00236273"/>
    <w:rsid w:val="0025070E"/>
    <w:rsid w:val="0025115E"/>
    <w:rsid w:val="0025541B"/>
    <w:rsid w:val="00274AC0"/>
    <w:rsid w:val="00294EE2"/>
    <w:rsid w:val="002B48D8"/>
    <w:rsid w:val="002D0E23"/>
    <w:rsid w:val="002E1EC5"/>
    <w:rsid w:val="002F0D43"/>
    <w:rsid w:val="002F4EC4"/>
    <w:rsid w:val="002F6A76"/>
    <w:rsid w:val="002F79E0"/>
    <w:rsid w:val="003111A7"/>
    <w:rsid w:val="00330C80"/>
    <w:rsid w:val="003570EA"/>
    <w:rsid w:val="0036214D"/>
    <w:rsid w:val="00374AF9"/>
    <w:rsid w:val="00394C42"/>
    <w:rsid w:val="00425E40"/>
    <w:rsid w:val="004266BE"/>
    <w:rsid w:val="00446192"/>
    <w:rsid w:val="00452C6E"/>
    <w:rsid w:val="00462D65"/>
    <w:rsid w:val="004677F3"/>
    <w:rsid w:val="00481948"/>
    <w:rsid w:val="00483DC6"/>
    <w:rsid w:val="004934CB"/>
    <w:rsid w:val="004B5047"/>
    <w:rsid w:val="004B5FCD"/>
    <w:rsid w:val="004D4905"/>
    <w:rsid w:val="004E4DAA"/>
    <w:rsid w:val="00506961"/>
    <w:rsid w:val="00531B81"/>
    <w:rsid w:val="005540AD"/>
    <w:rsid w:val="00562E3B"/>
    <w:rsid w:val="00577554"/>
    <w:rsid w:val="005D50D2"/>
    <w:rsid w:val="00605B03"/>
    <w:rsid w:val="0063464D"/>
    <w:rsid w:val="006903FA"/>
    <w:rsid w:val="006952FE"/>
    <w:rsid w:val="006A2407"/>
    <w:rsid w:val="006B2C3A"/>
    <w:rsid w:val="006C364E"/>
    <w:rsid w:val="006D4B5D"/>
    <w:rsid w:val="006E4D7D"/>
    <w:rsid w:val="006F31B1"/>
    <w:rsid w:val="006F56FD"/>
    <w:rsid w:val="00707F4C"/>
    <w:rsid w:val="00740789"/>
    <w:rsid w:val="007A372C"/>
    <w:rsid w:val="007A76AB"/>
    <w:rsid w:val="007C5657"/>
    <w:rsid w:val="007D06AE"/>
    <w:rsid w:val="007F209D"/>
    <w:rsid w:val="007F3748"/>
    <w:rsid w:val="00831334"/>
    <w:rsid w:val="00837A0D"/>
    <w:rsid w:val="00852D83"/>
    <w:rsid w:val="0087617C"/>
    <w:rsid w:val="008964A9"/>
    <w:rsid w:val="008A6BFB"/>
    <w:rsid w:val="008B1C6A"/>
    <w:rsid w:val="008B564A"/>
    <w:rsid w:val="008B7020"/>
    <w:rsid w:val="008C0E6C"/>
    <w:rsid w:val="008D309B"/>
    <w:rsid w:val="008F4EAC"/>
    <w:rsid w:val="00910A82"/>
    <w:rsid w:val="00920E8C"/>
    <w:rsid w:val="0093769A"/>
    <w:rsid w:val="00940D8A"/>
    <w:rsid w:val="00943229"/>
    <w:rsid w:val="009515D5"/>
    <w:rsid w:val="009550EE"/>
    <w:rsid w:val="009709DB"/>
    <w:rsid w:val="00994241"/>
    <w:rsid w:val="00995731"/>
    <w:rsid w:val="0099728D"/>
    <w:rsid w:val="009B76C6"/>
    <w:rsid w:val="009C77F6"/>
    <w:rsid w:val="009D3DE2"/>
    <w:rsid w:val="00A17CE3"/>
    <w:rsid w:val="00A36F31"/>
    <w:rsid w:val="00A46A1E"/>
    <w:rsid w:val="00A91702"/>
    <w:rsid w:val="00AB3248"/>
    <w:rsid w:val="00AB6BA6"/>
    <w:rsid w:val="00AC2DD1"/>
    <w:rsid w:val="00AE2366"/>
    <w:rsid w:val="00AF4DB6"/>
    <w:rsid w:val="00B21CB4"/>
    <w:rsid w:val="00B5616C"/>
    <w:rsid w:val="00B6749C"/>
    <w:rsid w:val="00BA6BE0"/>
    <w:rsid w:val="00BC642E"/>
    <w:rsid w:val="00BE0FD9"/>
    <w:rsid w:val="00BE281B"/>
    <w:rsid w:val="00BE5325"/>
    <w:rsid w:val="00C42E29"/>
    <w:rsid w:val="00C4331B"/>
    <w:rsid w:val="00C81AB8"/>
    <w:rsid w:val="00C868C5"/>
    <w:rsid w:val="00CA4ACB"/>
    <w:rsid w:val="00CF0B4F"/>
    <w:rsid w:val="00D10529"/>
    <w:rsid w:val="00D34F85"/>
    <w:rsid w:val="00D450BE"/>
    <w:rsid w:val="00D63938"/>
    <w:rsid w:val="00D706C6"/>
    <w:rsid w:val="00D8012A"/>
    <w:rsid w:val="00D841F2"/>
    <w:rsid w:val="00D91D6E"/>
    <w:rsid w:val="00DA0F23"/>
    <w:rsid w:val="00DB77B3"/>
    <w:rsid w:val="00DC1789"/>
    <w:rsid w:val="00DE5251"/>
    <w:rsid w:val="00DE72F4"/>
    <w:rsid w:val="00DF2776"/>
    <w:rsid w:val="00DF63C1"/>
    <w:rsid w:val="00E221BC"/>
    <w:rsid w:val="00E244B5"/>
    <w:rsid w:val="00E54C56"/>
    <w:rsid w:val="00E666A5"/>
    <w:rsid w:val="00EA4AC4"/>
    <w:rsid w:val="00EB34FD"/>
    <w:rsid w:val="00EB7A17"/>
    <w:rsid w:val="00EF7F2A"/>
    <w:rsid w:val="00F021C2"/>
    <w:rsid w:val="00F32249"/>
    <w:rsid w:val="00F32F9C"/>
    <w:rsid w:val="00F46B4A"/>
    <w:rsid w:val="00F504FB"/>
    <w:rsid w:val="00F52A14"/>
    <w:rsid w:val="00F62148"/>
    <w:rsid w:val="00F82C93"/>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E244B5"/>
    <w:pPr>
      <w:spacing w:after="120"/>
    </w:pPr>
  </w:style>
  <w:style w:type="paragraph" w:styleId="Heading1">
    <w:name w:val="heading 1"/>
    <w:basedOn w:val="Normal"/>
    <w:next w:val="Normal"/>
    <w:qFormat/>
    <w:rsid w:val="00483DC6"/>
    <w:pPr>
      <w:keepNext/>
      <w:pageBreakBefore/>
      <w:numPr>
        <w:numId w:val="2"/>
      </w:numPr>
      <w:tabs>
        <w:tab w:val="left" w:pos="0"/>
        <w:tab w:val="left" w:pos="567"/>
      </w:tabs>
      <w:spacing w:after="240"/>
      <w:ind w:left="431" w:hanging="431"/>
      <w:outlineLvl w:val="0"/>
    </w:pPr>
    <w:rPr>
      <w:rFonts w:cs="Arial"/>
      <w:b/>
      <w:bCs/>
      <w:color w:val="404040" w:themeColor="text1" w:themeTint="BF"/>
      <w:kern w:val="32"/>
      <w:sz w:val="32"/>
      <w:szCs w:val="32"/>
    </w:rPr>
  </w:style>
  <w:style w:type="paragraph" w:styleId="Heading2">
    <w:name w:val="heading 2"/>
    <w:basedOn w:val="Normal"/>
    <w:next w:val="Normal"/>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Heading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Heading4">
    <w:name w:val="heading 4"/>
    <w:basedOn w:val="Normal"/>
    <w:next w:val="Normal"/>
    <w:link w:val="Heading4Char"/>
    <w:rsid w:val="00374AF9"/>
    <w:pPr>
      <w:keepNext/>
      <w:keepLines/>
      <w:numPr>
        <w:ilvl w:val="3"/>
        <w:numId w:val="2"/>
      </w:numPr>
      <w:spacing w:before="240" w:after="0"/>
      <w:ind w:left="862" w:hanging="862"/>
      <w:outlineLvl w:val="3"/>
    </w:pPr>
    <w:rPr>
      <w:rFonts w:eastAsiaTheme="majorEastAsia" w:cstheme="majorBidi"/>
      <w:iCs/>
      <w:color w:val="595959" w:themeColor="text1" w:themeTint="A6"/>
    </w:rPr>
  </w:style>
  <w:style w:type="paragraph" w:styleId="Heading5">
    <w:name w:val="heading 5"/>
    <w:basedOn w:val="Normal"/>
    <w:next w:val="Normal"/>
    <w:link w:val="Heading5Char"/>
    <w:unhideWhenUsed/>
    <w:rsid w:val="00236273"/>
    <w:pPr>
      <w:keepNext/>
      <w:keepLines/>
      <w:numPr>
        <w:ilvl w:val="4"/>
        <w:numId w:val="2"/>
      </w:numPr>
      <w:spacing w:before="240" w:after="0"/>
      <w:ind w:left="1009" w:hanging="1009"/>
      <w:outlineLvl w:val="4"/>
    </w:pPr>
    <w:rPr>
      <w:rFonts w:eastAsiaTheme="majorEastAsia" w:cstheme="majorBidi"/>
      <w:color w:val="595959" w:themeColor="text1" w:themeTint="A6"/>
    </w:rPr>
  </w:style>
  <w:style w:type="paragraph" w:styleId="Heading6">
    <w:name w:val="heading 6"/>
    <w:basedOn w:val="Normal"/>
    <w:next w:val="Normal"/>
    <w:link w:val="Heading6Char"/>
    <w:semiHidden/>
    <w:unhideWhenUsed/>
    <w:rsid w:val="00236273"/>
    <w:pPr>
      <w:keepNext/>
      <w:keepLines/>
      <w:numPr>
        <w:ilvl w:val="5"/>
        <w:numId w:val="2"/>
      </w:numPr>
      <w:spacing w:before="240" w:after="0"/>
      <w:ind w:left="1151" w:hanging="1151"/>
      <w:outlineLvl w:val="5"/>
    </w:pPr>
    <w:rPr>
      <w:rFonts w:eastAsiaTheme="majorEastAsia" w:cstheme="majorBidi"/>
      <w:color w:val="7F7F7F" w:themeColor="text1" w:themeTint="80"/>
    </w:rPr>
  </w:style>
  <w:style w:type="paragraph" w:styleId="Heading7">
    <w:name w:val="heading 7"/>
    <w:basedOn w:val="Normal"/>
    <w:next w:val="Normal"/>
    <w:link w:val="Heading7Char"/>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Heading8">
    <w:name w:val="heading 8"/>
    <w:basedOn w:val="Normal"/>
    <w:next w:val="Normal"/>
    <w:link w:val="Heading8Char"/>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Heading9">
    <w:name w:val="heading 9"/>
    <w:basedOn w:val="Normal"/>
    <w:next w:val="Normal"/>
    <w:link w:val="Heading9Char"/>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szCs w:val="20"/>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rsid w:val="00DF63C1"/>
    <w:pPr>
      <w:tabs>
        <w:tab w:val="center" w:pos="4536"/>
        <w:tab w:val="right" w:pos="9072"/>
      </w:tabs>
      <w:spacing w:after="0"/>
      <w:jc w:val="right"/>
    </w:pPr>
    <w:rPr>
      <w:sz w:val="18"/>
    </w:rPr>
  </w:style>
  <w:style w:type="character" w:customStyle="1" w:styleId="FooterChar">
    <w:name w:val="Footer Char"/>
    <w:basedOn w:val="DefaultParagraphFont"/>
    <w:link w:val="Footer"/>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9C77F6"/>
    <w:pPr>
      <w:spacing w:before="120"/>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autoRedefine/>
    <w:uiPriority w:val="39"/>
    <w:rsid w:val="009C77F6"/>
    <w:pPr>
      <w:spacing w:after="0"/>
    </w:pPr>
    <w:rPr>
      <w:iCs/>
      <w:color w:val="595959" w:themeColor="text1" w:themeTint="A6"/>
      <w:sz w:val="18"/>
      <w:szCs w:val="22"/>
    </w:rPr>
  </w:style>
  <w:style w:type="paragraph" w:styleId="TOC4">
    <w:name w:val="toc 4"/>
    <w:basedOn w:val="Normal"/>
    <w:next w:val="Normal"/>
    <w:autoRedefine/>
    <w:rsid w:val="0021001B"/>
    <w:pPr>
      <w:pBdr>
        <w:between w:val="double" w:sz="6" w:space="0" w:color="auto"/>
      </w:pBdr>
      <w:spacing w:after="0"/>
      <w:ind w:left="400"/>
    </w:pPr>
    <w:rPr>
      <w:sz w:val="18"/>
      <w:szCs w:val="20"/>
    </w:rPr>
  </w:style>
  <w:style w:type="paragraph" w:styleId="TOC5">
    <w:name w:val="toc 5"/>
    <w:basedOn w:val="Normal"/>
    <w:next w:val="Normal"/>
    <w:autoRedefine/>
    <w:rsid w:val="0021001B"/>
    <w:pPr>
      <w:pBdr>
        <w:between w:val="double" w:sz="6" w:space="0" w:color="auto"/>
      </w:pBdr>
      <w:spacing w:after="0"/>
      <w:ind w:left="600"/>
    </w:pPr>
    <w:rPr>
      <w:sz w:val="18"/>
      <w:szCs w:val="20"/>
    </w:rPr>
  </w:style>
  <w:style w:type="paragraph" w:styleId="TOC6">
    <w:name w:val="toc 6"/>
    <w:basedOn w:val="Normal"/>
    <w:next w:val="Normal"/>
    <w:autoRedefine/>
    <w:rsid w:val="0021001B"/>
    <w:pPr>
      <w:pBdr>
        <w:between w:val="double" w:sz="6" w:space="0" w:color="auto"/>
      </w:pBdr>
      <w:spacing w:after="0"/>
      <w:ind w:left="800"/>
    </w:pPr>
    <w:rPr>
      <w:szCs w:val="20"/>
    </w:rPr>
  </w:style>
  <w:style w:type="paragraph" w:styleId="TOC7">
    <w:name w:val="toc 7"/>
    <w:basedOn w:val="Normal"/>
    <w:next w:val="Normal"/>
    <w:autoRedefine/>
    <w:rsid w:val="0021001B"/>
    <w:pPr>
      <w:pBdr>
        <w:between w:val="double" w:sz="6" w:space="0" w:color="auto"/>
      </w:pBdr>
      <w:spacing w:after="0"/>
      <w:ind w:left="1000"/>
    </w:pPr>
    <w:rPr>
      <w:szCs w:val="20"/>
    </w:rPr>
  </w:style>
  <w:style w:type="paragraph" w:styleId="TOC8">
    <w:name w:val="toc 8"/>
    <w:basedOn w:val="Normal"/>
    <w:next w:val="Normal"/>
    <w:autoRedefine/>
    <w:rsid w:val="0021001B"/>
    <w:pPr>
      <w:pBdr>
        <w:between w:val="double" w:sz="6" w:space="0" w:color="auto"/>
      </w:pBdr>
      <w:spacing w:after="0"/>
      <w:ind w:left="1200"/>
    </w:pPr>
    <w:rPr>
      <w:szCs w:val="20"/>
    </w:rPr>
  </w:style>
  <w:style w:type="paragraph" w:styleId="TO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Heading4Char">
    <w:name w:val="Heading 4 Char"/>
    <w:basedOn w:val="DefaultParagraphFont"/>
    <w:link w:val="Heading4"/>
    <w:rsid w:val="00374AF9"/>
    <w:rPr>
      <w:rFonts w:ascii="Source Sans Pro" w:eastAsiaTheme="majorEastAsia" w:hAnsi="Source Sans Pro" w:cstheme="majorBidi"/>
      <w:iCs/>
      <w:color w:val="595959" w:themeColor="text1" w:themeTint="A6"/>
      <w:sz w:val="20"/>
    </w:rPr>
  </w:style>
  <w:style w:type="character" w:customStyle="1" w:styleId="Heading5Char">
    <w:name w:val="Heading 5 Char"/>
    <w:basedOn w:val="DefaultParagraphFont"/>
    <w:link w:val="Heading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Normal"/>
    <w:uiPriority w:val="99"/>
    <w:rsid w:val="00E868FB"/>
    <w:tbl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740789"/>
    <w:pPr>
      <w:spacing w:after="120"/>
    </w:p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rsid w:val="00A36F31"/>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Heading6Char">
    <w:name w:val="Heading 6 Char"/>
    <w:basedOn w:val="DefaultParagraphFont"/>
    <w:link w:val="Heading6"/>
    <w:semiHidden/>
    <w:rsid w:val="00236273"/>
    <w:rPr>
      <w:rFonts w:ascii="Source Sans Pro" w:eastAsiaTheme="majorEastAsia" w:hAnsi="Source Sans Pro" w:cstheme="majorBidi"/>
      <w:color w:val="7F7F7F" w:themeColor="text1" w:themeTint="80"/>
      <w:sz w:val="20"/>
    </w:rPr>
  </w:style>
  <w:style w:type="character" w:customStyle="1" w:styleId="Heading7Char">
    <w:name w:val="Heading 7 Char"/>
    <w:basedOn w:val="DefaultParagraphFont"/>
    <w:link w:val="Heading7"/>
    <w:semiHidden/>
    <w:rsid w:val="00236273"/>
    <w:rPr>
      <w:rFonts w:ascii="Source Sans Pro" w:eastAsiaTheme="majorEastAsia" w:hAnsi="Source Sans Pro" w:cstheme="majorBidi"/>
      <w:color w:val="7F7F7F" w:themeColor="text1" w:themeTint="80"/>
      <w:sz w:val="20"/>
    </w:rPr>
  </w:style>
  <w:style w:type="character" w:customStyle="1" w:styleId="Heading8Char">
    <w:name w:val="Heading 8 Char"/>
    <w:basedOn w:val="DefaultParagraphFont"/>
    <w:link w:val="Heading8"/>
    <w:semiHidden/>
    <w:rsid w:val="00236273"/>
    <w:rPr>
      <w:rFonts w:ascii="Source Sans Pro" w:eastAsiaTheme="majorEastAsia" w:hAnsi="Source Sans Pro" w:cstheme="majorBidi"/>
      <w:color w:val="7F7F7F" w:themeColor="text1" w:themeTint="80"/>
      <w:sz w:val="20"/>
      <w:szCs w:val="21"/>
    </w:rPr>
  </w:style>
  <w:style w:type="character" w:customStyle="1" w:styleId="Heading9Char">
    <w:name w:val="Heading 9 Char"/>
    <w:basedOn w:val="DefaultParagraphFont"/>
    <w:link w:val="Heading9"/>
    <w:semiHidden/>
    <w:rsid w:val="00236273"/>
    <w:rPr>
      <w:rFonts w:ascii="Source Sans Pro" w:eastAsiaTheme="majorEastAsia" w:hAnsi="Source Sans Pro" w:cstheme="majorBidi"/>
      <w:color w:val="7F7F7F" w:themeColor="text1" w:themeTint="80"/>
      <w:sz w:val="20"/>
      <w:szCs w:val="21"/>
    </w:rPr>
  </w:style>
  <w:style w:type="character" w:styleId="IntenseEmphasis">
    <w:name w:val="Intense Emphasis"/>
    <w:basedOn w:val="DefaultParagraphFont"/>
    <w:rsid w:val="00831334"/>
    <w:rPr>
      <w:i/>
      <w:iCs/>
      <w:color w:val="7F7F7F" w:themeColor="text1" w:themeTint="80"/>
    </w:rPr>
  </w:style>
  <w:style w:type="paragraph" w:styleId="IntenseQuote">
    <w:name w:val="Intense Quote"/>
    <w:basedOn w:val="Normal"/>
    <w:next w:val="Normal"/>
    <w:link w:val="IntenseQuoteCh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rsid w:val="00831334"/>
    <w:rPr>
      <w:rFonts w:ascii="Source Sans Pro" w:hAnsi="Source Sans Pro"/>
      <w:i/>
      <w:iCs/>
      <w:color w:val="7F7F7F" w:themeColor="text1" w:themeTint="80"/>
      <w:sz w:val="20"/>
    </w:rPr>
  </w:style>
  <w:style w:type="character" w:styleId="IntenseReference">
    <w:name w:val="Intense Reference"/>
    <w:basedOn w:val="DefaultParagraphFont"/>
    <w:rsid w:val="00831334"/>
    <w:rPr>
      <w:b/>
      <w:bCs/>
      <w:smallCaps/>
      <w:color w:val="7F7F7F" w:themeColor="text1" w:themeTint="80"/>
      <w:spacing w:val="5"/>
    </w:rPr>
  </w:style>
  <w:style w:type="table" w:styleId="PlainTable1">
    <w:name w:val="Plain Table 1"/>
    <w:basedOn w:val="Table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character" w:customStyle="1" w:styleId="ScrollInlineCode">
    <w:name w:val="Scroll Inline Code"/>
    <w:basedOn w:val="DefaultParagraphFont"/>
    <w:uiPriority w:val="1"/>
    <w:qFormat/>
    <w:rsid w:val="00216D0B"/>
    <w:rPr>
      <w:rFonts w:ascii="Courier New" w:hAnsi="Courier New"/>
      <w:bdr w:val="none" w:sz="0" w:space="0" w:color="auto"/>
      <w:shd w:val="clear" w:color="auto" w:fill="F4F5F7"/>
    </w:rPr>
  </w:style>
  <w:style w:type="table" w:customStyle="1" w:styleId="ScrollCustomPanel">
    <w:name w:val="Scroll Custom Panel"/>
    <w:basedOn w:val="TableNormal"/>
    <w:uiPriority w:val="99"/>
    <w:qFormat/>
    <w:rsid w:val="0010625D"/>
    <w:pPr>
      <w:ind w:left="173" w:right="259"/>
    </w:pPr>
    <w:tblPr>
      <w:tblCellMar>
        <w:top w:w="173" w:type="dxa"/>
        <w:left w:w="58" w:type="dxa"/>
        <w:bottom w:w="259" w:type="dxa"/>
        <w:right w:w="58" w:type="dxa"/>
      </w:tblCellMar>
    </w:tblPr>
    <w:tcPr>
      <w:shd w:val="clear" w:color="auto" w:fill="DEEBFF"/>
    </w:tcPr>
  </w:style>
  <w:style w:type="table" w:customStyle="1" w:styleId="ScrollNoteCloud">
    <w:name w:val="Scroll Note Cloud"/>
    <w:basedOn w:val="TableNormal"/>
    <w:uiPriority w:val="99"/>
    <w:rsid w:val="00250162"/>
    <w:pPr>
      <w:ind w:left="176" w:right="261"/>
    </w:pPr>
    <w:tblPr>
      <w:tblCellMar>
        <w:top w:w="173" w:type="dxa"/>
        <w:left w:w="58" w:type="dxa"/>
        <w:bottom w:w="259" w:type="dxa"/>
        <w:right w:w="58" w:type="dxa"/>
      </w:tblCellMar>
    </w:tblPr>
    <w:tcPr>
      <w:shd w:val="clear" w:color="auto" w:fill="EAE6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ick.Coyne@eumetsat.in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ick.Coyne@eumetsat.in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E17F-85EE-4B32-BF32-F15532D8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Apps</cp:lastModifiedBy>
  <cp:revision>114</cp:revision>
  <dcterms:created xsi:type="dcterms:W3CDTF">2016-10-04T14:03:00Z</dcterms:created>
  <dcterms:modified xsi:type="dcterms:W3CDTF">2022-08-23T13:49:00Z</dcterms:modified>
</cp:coreProperties>
</file>